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85" w:line="960" w:lineRule="exact"/>
        <w:jc w:val="center"/>
        <w:textAlignment w:val="auto"/>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eastAsia="zh-CN"/>
        </w:rPr>
        <w:t>山东省临沂卫生学校扩建项目图书信息综合楼电梯采购与安装项目</w:t>
      </w:r>
    </w:p>
    <w:p>
      <w:pPr>
        <w:pStyle w:val="29"/>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85" w:line="960" w:lineRule="exact"/>
        <w:jc w:val="center"/>
        <w:textAlignment w:val="auto"/>
        <w:rPr>
          <w:rFonts w:ascii="宋体" w:hAnsi="宋体" w:eastAsia="宋体" w:cs="宋体"/>
          <w:color w:val="auto"/>
          <w:sz w:val="44"/>
          <w:szCs w:val="44"/>
          <w:highlight w:val="none"/>
          <w:lang w:eastAsia="zh-CN"/>
        </w:rPr>
      </w:pPr>
      <w:r>
        <w:rPr>
          <w:rFonts w:ascii="宋体" w:hAnsi="宋体" w:eastAsia="宋体" w:cs="宋体"/>
          <w:b/>
          <w:bCs/>
          <w:color w:val="auto"/>
          <w:sz w:val="44"/>
          <w:szCs w:val="44"/>
          <w:highlight w:val="none"/>
          <w:lang w:eastAsia="zh-CN"/>
        </w:rPr>
        <w:t>政府采购竞争性磋商文件</w:t>
      </w:r>
    </w:p>
    <w:p>
      <w:pPr>
        <w:rPr>
          <w:rFonts w:ascii="宋体" w:hAnsi="宋体" w:eastAsia="宋体" w:cs="宋体"/>
          <w:b/>
          <w:bCs/>
          <w:color w:val="auto"/>
          <w:sz w:val="48"/>
          <w:szCs w:val="48"/>
          <w:highlight w:val="none"/>
          <w:lang w:eastAsia="zh-CN"/>
        </w:rPr>
      </w:pPr>
    </w:p>
    <w:p>
      <w:pPr>
        <w:rPr>
          <w:rFonts w:ascii="宋体" w:hAnsi="宋体" w:eastAsia="宋体" w:cs="宋体"/>
          <w:b/>
          <w:bCs/>
          <w:sz w:val="48"/>
          <w:szCs w:val="48"/>
          <w:lang w:eastAsia="zh-CN"/>
        </w:rPr>
      </w:pPr>
    </w:p>
    <w:p>
      <w:pPr>
        <w:pStyle w:val="2"/>
        <w:rPr>
          <w:rFonts w:ascii="宋体" w:hAnsi="宋体" w:eastAsia="宋体" w:cs="宋体"/>
          <w:b/>
          <w:bCs/>
          <w:sz w:val="48"/>
          <w:szCs w:val="48"/>
        </w:rPr>
      </w:pPr>
    </w:p>
    <w:p>
      <w:pPr>
        <w:pStyle w:val="2"/>
        <w:rPr>
          <w:rFonts w:ascii="宋体" w:hAnsi="宋体" w:eastAsia="宋体" w:cs="宋体"/>
          <w:b/>
          <w:bCs/>
          <w:sz w:val="48"/>
          <w:szCs w:val="48"/>
        </w:rPr>
      </w:pPr>
    </w:p>
    <w:p/>
    <w:p>
      <w:pPr>
        <w:spacing w:before="2"/>
        <w:rPr>
          <w:rFonts w:ascii="宋体" w:hAnsi="宋体" w:eastAsia="宋体" w:cs="宋体"/>
          <w:b/>
          <w:bCs/>
          <w:sz w:val="59"/>
          <w:szCs w:val="59"/>
        </w:rPr>
      </w:pPr>
    </w:p>
    <w:p>
      <w:pPr>
        <w:pStyle w:val="4"/>
        <w:ind w:left="4000"/>
        <w:rPr>
          <w:b w:val="0"/>
          <w:bCs w:val="0"/>
          <w:lang w:eastAsia="zh-CN"/>
        </w:rPr>
      </w:pPr>
      <w:r>
        <w:rPr>
          <w:lang w:eastAsia="zh-CN"/>
        </w:rPr>
        <w:t>第一册</w:t>
      </w:r>
    </w:p>
    <w:p>
      <w:pPr>
        <w:rPr>
          <w:rFonts w:ascii="宋体" w:hAnsi="宋体" w:eastAsia="宋体" w:cs="宋体"/>
          <w:b/>
          <w:bCs/>
          <w:sz w:val="36"/>
          <w:szCs w:val="36"/>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ind w:left="1980" w:leftChars="900" w:right="0" w:firstLine="0" w:firstLineChars="0"/>
        <w:jc w:val="both"/>
        <w:textAlignment w:val="auto"/>
        <w:rPr>
          <w:rFonts w:hint="default"/>
          <w:b w:val="0"/>
          <w:bCs w:val="0"/>
          <w:color w:val="FF0000"/>
          <w:lang w:val="en-US" w:eastAsia="zh-CN"/>
        </w:rPr>
      </w:pPr>
      <w:r>
        <w:rPr>
          <w:lang w:eastAsia="zh-CN"/>
        </w:rPr>
        <w:t>项目编号：</w:t>
      </w:r>
      <w:r>
        <w:rPr>
          <w:rFonts w:hint="eastAsia"/>
          <w:lang w:eastAsia="zh-CN"/>
        </w:rPr>
        <w:t>SDGP371300202102000662</w:t>
      </w:r>
    </w:p>
    <w:p>
      <w:pPr>
        <w:keepNext w:val="0"/>
        <w:keepLines w:val="0"/>
        <w:pageBreakBefore w:val="0"/>
        <w:widowControl w:val="0"/>
        <w:kinsoku/>
        <w:wordWrap/>
        <w:overflowPunct/>
        <w:topLinePunct w:val="0"/>
        <w:autoSpaceDE/>
        <w:autoSpaceDN/>
        <w:bidi w:val="0"/>
        <w:adjustRightInd/>
        <w:snapToGrid/>
        <w:spacing w:line="360" w:lineRule="auto"/>
        <w:ind w:leftChars="900" w:right="0"/>
        <w:jc w:val="both"/>
        <w:textAlignment w:val="auto"/>
        <w:rPr>
          <w:rFonts w:ascii="宋体" w:hAnsi="宋体" w:eastAsia="宋体" w:cs="宋体"/>
          <w:sz w:val="30"/>
          <w:szCs w:val="30"/>
          <w:lang w:eastAsia="zh-CN"/>
        </w:rPr>
      </w:pPr>
      <w:r>
        <w:rPr>
          <w:rFonts w:ascii="宋体" w:hAnsi="宋体" w:eastAsia="宋体" w:cs="宋体"/>
          <w:b/>
          <w:bCs/>
          <w:sz w:val="30"/>
          <w:szCs w:val="30"/>
          <w:lang w:eastAsia="zh-CN"/>
        </w:rPr>
        <w:t>项目包号：</w:t>
      </w:r>
      <w:r>
        <w:rPr>
          <w:rFonts w:hint="eastAsia" w:ascii="宋体" w:hAnsi="宋体" w:eastAsia="宋体" w:cs="宋体"/>
          <w:b/>
          <w:bCs/>
          <w:sz w:val="30"/>
          <w:szCs w:val="30"/>
          <w:lang w:val="en-US" w:eastAsia="zh-CN"/>
        </w:rPr>
        <w:t xml:space="preserve">  /</w:t>
      </w:r>
    </w:p>
    <w:p>
      <w:pPr>
        <w:spacing w:before="3"/>
        <w:rPr>
          <w:rFonts w:ascii="宋体" w:hAnsi="宋体" w:eastAsia="宋体" w:cs="宋体"/>
          <w:b/>
          <w:bCs/>
          <w:sz w:val="36"/>
          <w:szCs w:val="36"/>
          <w:lang w:eastAsia="zh-CN"/>
        </w:rPr>
      </w:pPr>
    </w:p>
    <w:p>
      <w:pPr>
        <w:pStyle w:val="2"/>
        <w:rPr>
          <w:rFonts w:ascii="宋体" w:hAnsi="宋体" w:eastAsia="宋体" w:cs="宋体"/>
          <w:b/>
          <w:bCs/>
          <w:sz w:val="36"/>
          <w:szCs w:val="36"/>
          <w:lang w:eastAsia="zh-CN"/>
        </w:rPr>
      </w:pPr>
    </w:p>
    <w:p>
      <w:pPr>
        <w:rPr>
          <w:lang w:eastAsia="zh-CN"/>
        </w:rPr>
      </w:pPr>
    </w:p>
    <w:p>
      <w:pPr>
        <w:spacing w:before="3"/>
        <w:rPr>
          <w:rFonts w:ascii="宋体" w:hAnsi="宋体" w:eastAsia="宋体" w:cs="宋体"/>
          <w:b/>
          <w:bCs/>
          <w:sz w:val="36"/>
          <w:szCs w:val="36"/>
          <w:lang w:eastAsia="zh-CN"/>
        </w:rPr>
      </w:pPr>
    </w:p>
    <w:p>
      <w:pPr>
        <w:tabs>
          <w:tab w:val="left" w:pos="1819"/>
          <w:tab w:val="left" w:pos="2623"/>
        </w:tabs>
        <w:spacing w:line="358" w:lineRule="auto"/>
        <w:ind w:left="957" w:leftChars="435" w:firstLine="0" w:firstLineChars="0"/>
        <w:rPr>
          <w:rFonts w:hint="default" w:ascii="宋体" w:hAnsi="宋体" w:eastAsia="宋体" w:cs="宋体"/>
          <w:b/>
          <w:bCs/>
          <w:w w:val="90"/>
          <w:sz w:val="32"/>
          <w:szCs w:val="32"/>
          <w:u w:val="single"/>
          <w:lang w:val="en-US" w:eastAsia="zh-CN"/>
        </w:rPr>
      </w:pPr>
      <w:r>
        <w:rPr>
          <w:rFonts w:ascii="宋体" w:hAnsi="宋体" w:eastAsia="宋体" w:cs="宋体"/>
          <w:b/>
          <w:bCs/>
          <w:w w:val="95"/>
          <w:sz w:val="32"/>
          <w:szCs w:val="32"/>
          <w:lang w:eastAsia="zh-CN"/>
        </w:rPr>
        <w:t>采</w:t>
      </w:r>
      <w:r>
        <w:rPr>
          <w:rFonts w:hint="eastAsia" w:ascii="宋体" w:hAnsi="宋体" w:eastAsia="宋体" w:cs="宋体"/>
          <w:b/>
          <w:bCs/>
          <w:w w:val="95"/>
          <w:sz w:val="32"/>
          <w:szCs w:val="32"/>
          <w:lang w:val="en-US" w:eastAsia="zh-CN"/>
        </w:rPr>
        <w:t xml:space="preserve">  </w:t>
      </w:r>
      <w:r>
        <w:rPr>
          <w:rFonts w:ascii="宋体" w:hAnsi="宋体" w:eastAsia="宋体" w:cs="宋体"/>
          <w:b/>
          <w:bCs/>
          <w:w w:val="95"/>
          <w:sz w:val="32"/>
          <w:szCs w:val="32"/>
          <w:lang w:eastAsia="zh-CN"/>
        </w:rPr>
        <w:t>购</w:t>
      </w:r>
      <w:r>
        <w:rPr>
          <w:rFonts w:hint="eastAsia" w:ascii="宋体" w:hAnsi="宋体" w:eastAsia="宋体" w:cs="宋体"/>
          <w:b/>
          <w:bCs/>
          <w:w w:val="95"/>
          <w:sz w:val="32"/>
          <w:szCs w:val="32"/>
          <w:lang w:val="en-US" w:eastAsia="zh-CN"/>
        </w:rPr>
        <w:t xml:space="preserve">  </w:t>
      </w:r>
      <w:r>
        <w:rPr>
          <w:rFonts w:ascii="宋体" w:hAnsi="宋体" w:eastAsia="宋体" w:cs="宋体"/>
          <w:b/>
          <w:bCs/>
          <w:sz w:val="32"/>
          <w:szCs w:val="32"/>
          <w:lang w:eastAsia="zh-CN"/>
        </w:rPr>
        <w:t>人:</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pacing w:val="20"/>
          <w:w w:val="100"/>
          <w:sz w:val="32"/>
          <w:szCs w:val="32"/>
          <w:u w:val="single"/>
          <w:lang w:eastAsia="zh-CN"/>
        </w:rPr>
        <w:t>山东省临沂卫生学校</w:t>
      </w:r>
      <w:r>
        <w:rPr>
          <w:rFonts w:hint="eastAsia" w:ascii="宋体" w:hAnsi="宋体" w:eastAsia="宋体" w:cs="宋体"/>
          <w:b/>
          <w:bCs/>
          <w:spacing w:val="20"/>
          <w:w w:val="100"/>
          <w:sz w:val="32"/>
          <w:szCs w:val="32"/>
          <w:u w:val="single"/>
          <w:lang w:val="en-US" w:eastAsia="zh-CN"/>
        </w:rPr>
        <w:t xml:space="preserve"> </w:t>
      </w:r>
    </w:p>
    <w:p>
      <w:pPr>
        <w:tabs>
          <w:tab w:val="left" w:pos="1819"/>
          <w:tab w:val="left" w:pos="2623"/>
        </w:tabs>
        <w:spacing w:line="358" w:lineRule="auto"/>
        <w:ind w:left="957" w:leftChars="435" w:firstLine="0" w:firstLineChars="0"/>
        <w:rPr>
          <w:rFonts w:hint="default" w:ascii="宋体" w:hAnsi="宋体" w:eastAsia="宋体" w:cs="宋体"/>
          <w:b/>
          <w:bCs/>
          <w:w w:val="95"/>
          <w:sz w:val="32"/>
          <w:szCs w:val="32"/>
          <w:u w:val="single"/>
          <w:lang w:val="en-US" w:eastAsia="zh-CN"/>
        </w:rPr>
      </w:pPr>
      <w:r>
        <w:rPr>
          <w:rFonts w:ascii="宋体" w:hAnsi="宋体" w:eastAsia="宋体" w:cs="宋体"/>
          <w:b/>
          <w:bCs/>
          <w:w w:val="95"/>
          <w:sz w:val="32"/>
          <w:szCs w:val="32"/>
          <w:lang w:eastAsia="zh-CN"/>
        </w:rPr>
        <w:t>采购代理机构：</w:t>
      </w:r>
      <w:r>
        <w:rPr>
          <w:rFonts w:hint="eastAsia" w:ascii="宋体" w:hAnsi="宋体" w:eastAsia="宋体" w:cs="宋体"/>
          <w:b/>
          <w:bCs/>
          <w:w w:val="95"/>
          <w:sz w:val="32"/>
          <w:szCs w:val="32"/>
          <w:u w:val="single"/>
          <w:lang w:val="en-US" w:eastAsia="zh-CN"/>
        </w:rPr>
        <w:t>临沂正旭建设项目管理有限公司</w:t>
      </w:r>
    </w:p>
    <w:p>
      <w:pPr>
        <w:tabs>
          <w:tab w:val="left" w:pos="1819"/>
          <w:tab w:val="left" w:pos="2623"/>
        </w:tabs>
        <w:spacing w:line="357" w:lineRule="auto"/>
        <w:ind w:left="1012" w:right="1489" w:firstLine="4"/>
        <w:rPr>
          <w:rFonts w:ascii="宋体" w:hAnsi="宋体" w:eastAsia="宋体" w:cs="宋体"/>
          <w:color w:val="auto"/>
          <w:sz w:val="32"/>
          <w:szCs w:val="32"/>
          <w:highlight w:val="yellow"/>
          <w:lang w:eastAsia="zh-CN"/>
        </w:rPr>
      </w:pPr>
      <w:r>
        <w:rPr>
          <w:rFonts w:ascii="宋体" w:hAnsi="宋体" w:eastAsia="宋体" w:cs="宋体"/>
          <w:b/>
          <w:bCs/>
          <w:color w:val="auto"/>
          <w:sz w:val="32"/>
          <w:szCs w:val="32"/>
          <w:lang w:eastAsia="zh-CN"/>
        </w:rPr>
        <w:t>发出日期：</w:t>
      </w:r>
      <w:r>
        <w:rPr>
          <w:rFonts w:hint="eastAsia" w:ascii="宋体" w:hAnsi="宋体" w:eastAsia="宋体" w:cs="宋体"/>
          <w:b/>
          <w:bCs/>
          <w:color w:val="auto"/>
          <w:sz w:val="32"/>
          <w:szCs w:val="32"/>
          <w:lang w:val="en-US" w:eastAsia="zh-CN"/>
        </w:rPr>
        <w:t xml:space="preserve">   </w:t>
      </w:r>
      <w:r>
        <w:rPr>
          <w:rFonts w:ascii="宋体" w:hAnsi="宋体" w:eastAsia="宋体" w:cs="宋体"/>
          <w:b/>
          <w:bCs/>
          <w:color w:val="auto"/>
          <w:sz w:val="32"/>
          <w:szCs w:val="32"/>
          <w:highlight w:val="none"/>
          <w:lang w:eastAsia="zh-CN"/>
        </w:rPr>
        <w:t>2021年</w:t>
      </w:r>
      <w:r>
        <w:rPr>
          <w:rFonts w:hint="eastAsia" w:ascii="宋体" w:hAnsi="宋体" w:eastAsia="宋体" w:cs="宋体"/>
          <w:b/>
          <w:bCs/>
          <w:color w:val="auto"/>
          <w:sz w:val="32"/>
          <w:szCs w:val="32"/>
          <w:highlight w:val="none"/>
          <w:lang w:val="en-US" w:eastAsia="zh-CN"/>
        </w:rPr>
        <w:t>9</w:t>
      </w:r>
      <w:r>
        <w:rPr>
          <w:rFonts w:ascii="宋体" w:hAnsi="宋体" w:eastAsia="宋体" w:cs="宋体"/>
          <w:b/>
          <w:bCs/>
          <w:color w:val="auto"/>
          <w:sz w:val="32"/>
          <w:szCs w:val="32"/>
          <w:highlight w:val="none"/>
          <w:lang w:eastAsia="zh-CN"/>
        </w:rPr>
        <w:t>月</w:t>
      </w:r>
    </w:p>
    <w:p>
      <w:pPr>
        <w:spacing w:line="357" w:lineRule="auto"/>
        <w:rPr>
          <w:rFonts w:ascii="宋体" w:hAnsi="宋体" w:eastAsia="宋体" w:cs="宋体"/>
          <w:color w:val="auto"/>
          <w:sz w:val="32"/>
          <w:szCs w:val="32"/>
          <w:lang w:eastAsia="zh-CN"/>
        </w:rPr>
        <w:sectPr>
          <w:headerReference r:id="rId4" w:type="first"/>
          <w:headerReference r:id="rId3" w:type="default"/>
          <w:footerReference r:id="rId5" w:type="default"/>
          <w:type w:val="continuous"/>
          <w:pgSz w:w="11910" w:h="16840"/>
          <w:pgMar w:top="1580" w:right="1300" w:bottom="1180" w:left="1680" w:header="720" w:footer="1000" w:gutter="0"/>
          <w:pgNumType w:start="1"/>
          <w:cols w:space="720" w:num="1"/>
          <w:titlePg/>
        </w:sectPr>
      </w:pPr>
    </w:p>
    <w:p>
      <w:pPr>
        <w:spacing w:line="621" w:lineRule="exact"/>
        <w:jc w:val="center"/>
        <w:rPr>
          <w:rFonts w:ascii="黑体" w:hAnsi="黑体" w:eastAsia="黑体" w:cs="黑体"/>
          <w:b/>
          <w:bCs/>
          <w:sz w:val="32"/>
          <w:szCs w:val="32"/>
          <w:lang w:eastAsia="zh-CN"/>
        </w:rPr>
      </w:pPr>
      <w:r>
        <w:rPr>
          <w:rFonts w:ascii="黑体" w:hAnsi="黑体" w:eastAsia="黑体" w:cs="黑体"/>
          <w:b/>
          <w:bCs/>
          <w:sz w:val="32"/>
          <w:szCs w:val="32"/>
          <w:lang w:eastAsia="zh-CN"/>
        </w:rPr>
        <w:t>投标须知</w:t>
      </w:r>
    </w:p>
    <w:p>
      <w:pPr>
        <w:spacing w:line="621" w:lineRule="exact"/>
        <w:jc w:val="center"/>
        <w:rPr>
          <w:rFonts w:ascii="黑体" w:hAnsi="黑体" w:eastAsia="黑体" w:cs="黑体"/>
          <w:b/>
          <w:bCs/>
          <w:sz w:val="32"/>
          <w:szCs w:val="32"/>
          <w:lang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根据《关于深化公共资源交易平台整合共享的指导意见》(国办函〔2019〕41 号)、《关于积极应对疫情创新做好招投标工作保障经济平稳运行的通知》(发改电〔2020〕170 号)、《临沂市人民政府关于持续深入优化营商环境的实施意见》(临政字〔2020〕70 号)、临沂市公共资源交易工作领导小组办公室《关于实行公共资源交易不见面开标的通知》等文件要求，我市各类公共资源交易项目全部实行“不见面”开标，不再现场递交投标文件。投标企业登录临沂市公共资源交易中心网站,按照“办事指南”中“临沂市不见面开标及远程评标操作手册"下载“不见面开标投标人操作手册.doc”并按照其要求,做好相关准备工作。各投标企业的法定代表授权委托代理人不需到开标现场参与本项目开标活动。但委托代理人必须是投标企业本单位职工,并且能够熟练的操作新点不见面开标系统,操作人不按操作规程、不熟悉开标系统由此造成开标不成功的后果由企业自行承担。各投标企业需于投标截止时间之前将加密版电子文件上传至电子招投标交易平台,且各投标人在投标（预审）截止时间后 30 分钟内登陆临沂市公共资源交易中心网电子招投标交易平台解密， 过时视为投标书未送达。</w:t>
      </w:r>
    </w:p>
    <w:p>
      <w:pPr>
        <w:keepNext w:val="0"/>
        <w:keepLines w:val="0"/>
        <w:pageBreakBefore w:val="0"/>
        <w:kinsoku/>
        <w:wordWrap/>
        <w:overflowPunct/>
        <w:topLinePunct w:val="0"/>
        <w:autoSpaceDE/>
        <w:autoSpaceDN/>
        <w:bidi w:val="0"/>
        <w:adjustRightInd/>
        <w:snapToGrid/>
        <w:spacing w:line="360" w:lineRule="auto"/>
        <w:ind w:right="159"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本项目实行“不见面”开标，各投标人不需到开标现场递交磋商文件。</w:t>
      </w:r>
    </w:p>
    <w:p>
      <w:pPr>
        <w:keepNext w:val="0"/>
        <w:keepLines w:val="0"/>
        <w:pageBreakBefore w:val="0"/>
        <w:kinsoku/>
        <w:wordWrap/>
        <w:overflowPunct/>
        <w:topLinePunct w:val="0"/>
        <w:autoSpaceDE/>
        <w:autoSpaceDN/>
        <w:bidi w:val="0"/>
        <w:adjustRightInd/>
        <w:snapToGrid/>
        <w:spacing w:line="360" w:lineRule="auto"/>
        <w:ind w:right="159"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投标人基本操作流程如下：登录开标大厅（选择投标人身份）--进入本项目--点击 我已阅读--投标人签到（输入信息显示签到成功--点击确定）--开标时间截止后进行投标文件解密（解密时长为投标截止时间后半小时以内，务必在规定的时间内解密）</w:t>
      </w:r>
    </w:p>
    <w:p>
      <w:pPr>
        <w:keepNext w:val="0"/>
        <w:keepLines w:val="0"/>
        <w:pageBreakBefore w:val="0"/>
        <w:kinsoku/>
        <w:wordWrap/>
        <w:overflowPunct/>
        <w:topLinePunct w:val="0"/>
        <w:autoSpaceDE/>
        <w:autoSpaceDN/>
        <w:bidi w:val="0"/>
        <w:adjustRightInd/>
        <w:snapToGrid/>
        <w:spacing w:line="360" w:lineRule="auto"/>
        <w:ind w:right="159"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 xml:space="preserve"> 在</w:t>
      </w:r>
      <w:r>
        <w:rPr>
          <w:rFonts w:hint="eastAsia" w:ascii="宋体" w:hAnsi="宋体" w:eastAsia="宋体" w:cs="宋体"/>
          <w:sz w:val="24"/>
          <w:szCs w:val="24"/>
          <w:lang w:val="en-US" w:eastAsia="zh-CN"/>
        </w:rPr>
        <w:t>资格审查和符合性审查结束后，磋商小组</w:t>
      </w:r>
      <w:r>
        <w:rPr>
          <w:rFonts w:hint="eastAsia" w:ascii="宋体" w:hAnsi="宋体" w:eastAsia="宋体" w:cs="宋体"/>
          <w:sz w:val="24"/>
          <w:szCs w:val="24"/>
          <w:lang w:eastAsia="zh-CN"/>
        </w:rPr>
        <w:t>在网上不见面开标系统中</w:t>
      </w:r>
      <w:r>
        <w:rPr>
          <w:rFonts w:hint="eastAsia" w:ascii="宋体" w:hAnsi="宋体" w:eastAsia="宋体" w:cs="宋体"/>
          <w:sz w:val="24"/>
          <w:szCs w:val="24"/>
          <w:lang w:val="en-US" w:eastAsia="zh-CN"/>
        </w:rPr>
        <w:t>向通过资格审查和符合性审查的供应商</w:t>
      </w:r>
      <w:r>
        <w:rPr>
          <w:rFonts w:hint="eastAsia" w:ascii="宋体" w:hAnsi="宋体" w:eastAsia="宋体" w:cs="宋体"/>
          <w:sz w:val="24"/>
          <w:szCs w:val="24"/>
          <w:lang w:eastAsia="zh-CN"/>
        </w:rPr>
        <w:t xml:space="preserve">发起二次（多次）报价指令，报价时间总时长约 30 分钟（具体时间根据系统要求），各类供应商需在规定时间内在临沂市公共资源交易系统进行网上在线报价 [供应商登录临沂市公共资源交易系统，点击企业用户选择供应商，进入在线报价菜单对应项目进行二次报价（最后报价）.进入项目 后选择新增报价：在报价截止之前录入二次报价（最后报价）提交]。 </w:t>
      </w:r>
    </w:p>
    <w:p>
      <w:pPr>
        <w:keepNext w:val="0"/>
        <w:keepLines w:val="0"/>
        <w:pageBreakBefore w:val="0"/>
        <w:kinsoku/>
        <w:wordWrap/>
        <w:overflowPunct/>
        <w:topLinePunct w:val="0"/>
        <w:autoSpaceDE/>
        <w:autoSpaceDN/>
        <w:bidi w:val="0"/>
        <w:adjustRightInd/>
        <w:snapToGrid/>
        <w:spacing w:line="360" w:lineRule="auto"/>
        <w:ind w:right="159"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注意事项：</w:t>
      </w:r>
    </w:p>
    <w:p>
      <w:pPr>
        <w:keepNext w:val="0"/>
        <w:keepLines w:val="0"/>
        <w:pageBreakBefore w:val="0"/>
        <w:numPr>
          <w:ilvl w:val="0"/>
          <w:numId w:val="1"/>
        </w:numPr>
        <w:kinsoku/>
        <w:wordWrap/>
        <w:overflowPunct/>
        <w:topLinePunct w:val="0"/>
        <w:autoSpaceDE/>
        <w:autoSpaceDN/>
        <w:bidi w:val="0"/>
        <w:adjustRightInd/>
        <w:snapToGrid/>
        <w:spacing w:before="151"/>
        <w:ind w:right="156"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投标人必须在开标前（建议至少提前半小时）登录网上不见面开标系统进行电子签到。</w:t>
      </w:r>
    </w:p>
    <w:p>
      <w:pPr>
        <w:keepNext w:val="0"/>
        <w:keepLines w:val="0"/>
        <w:pageBreakBefore w:val="0"/>
        <w:numPr>
          <w:ilvl w:val="0"/>
          <w:numId w:val="1"/>
        </w:numPr>
        <w:kinsoku/>
        <w:wordWrap/>
        <w:overflowPunct/>
        <w:topLinePunct w:val="0"/>
        <w:autoSpaceDE/>
        <w:autoSpaceDN/>
        <w:bidi w:val="0"/>
        <w:adjustRightInd/>
        <w:snapToGrid/>
        <w:spacing w:line="360" w:lineRule="auto"/>
        <w:ind w:right="159"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开标时，投标人可在系统内观看开标过程。</w:t>
      </w:r>
    </w:p>
    <w:p>
      <w:pPr>
        <w:keepNext w:val="0"/>
        <w:keepLines w:val="0"/>
        <w:pageBreakBefore w:val="0"/>
        <w:numPr>
          <w:ilvl w:val="0"/>
          <w:numId w:val="1"/>
        </w:numPr>
        <w:kinsoku/>
        <w:wordWrap/>
        <w:overflowPunct/>
        <w:topLinePunct w:val="0"/>
        <w:autoSpaceDE/>
        <w:autoSpaceDN/>
        <w:bidi w:val="0"/>
        <w:adjustRightInd/>
        <w:snapToGrid/>
        <w:spacing w:line="360" w:lineRule="auto"/>
        <w:ind w:right="159"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 xml:space="preserve">各投标人须于投标截止时间之前将加密版电子投标文件上传至电子招投标交易平台，过时视为投标文件未送达。 </w:t>
      </w:r>
    </w:p>
    <w:p>
      <w:pPr>
        <w:keepNext w:val="0"/>
        <w:keepLines w:val="0"/>
        <w:pageBreakBefore w:val="0"/>
        <w:numPr>
          <w:ilvl w:val="0"/>
          <w:numId w:val="1"/>
        </w:numPr>
        <w:kinsoku/>
        <w:wordWrap/>
        <w:overflowPunct/>
        <w:topLinePunct w:val="0"/>
        <w:autoSpaceDE/>
        <w:autoSpaceDN/>
        <w:bidi w:val="0"/>
        <w:adjustRightInd/>
        <w:snapToGrid/>
        <w:spacing w:line="360" w:lineRule="auto"/>
        <w:ind w:right="159"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未在规定时间内解密的，其投标文件将被退回，视为无效标。（因电子开标系统本身原因等不可抗力原因除外）。</w:t>
      </w:r>
    </w:p>
    <w:p>
      <w:pPr>
        <w:keepNext w:val="0"/>
        <w:keepLines w:val="0"/>
        <w:pageBreakBefore w:val="0"/>
        <w:numPr>
          <w:ilvl w:val="0"/>
          <w:numId w:val="1"/>
        </w:numPr>
        <w:kinsoku/>
        <w:wordWrap/>
        <w:overflowPunct/>
        <w:topLinePunct w:val="0"/>
        <w:autoSpaceDE/>
        <w:autoSpaceDN/>
        <w:bidi w:val="0"/>
        <w:adjustRightInd/>
        <w:snapToGrid/>
        <w:spacing w:line="360" w:lineRule="auto"/>
        <w:ind w:right="159"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投标人可自行查看唱标信息。</w:t>
      </w:r>
    </w:p>
    <w:p>
      <w:pPr>
        <w:keepNext w:val="0"/>
        <w:keepLines w:val="0"/>
        <w:pageBreakBefore w:val="0"/>
        <w:numPr>
          <w:ilvl w:val="0"/>
          <w:numId w:val="1"/>
        </w:numPr>
        <w:kinsoku/>
        <w:wordWrap/>
        <w:overflowPunct/>
        <w:topLinePunct w:val="0"/>
        <w:autoSpaceDE/>
        <w:autoSpaceDN/>
        <w:bidi w:val="0"/>
        <w:adjustRightInd/>
        <w:snapToGrid/>
        <w:spacing w:line="360" w:lineRule="auto"/>
        <w:ind w:right="159"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投标人务必按照网上不见面开标操作手册的要求设置参与网上不见面开标的电脑环境，若因投标人自己的原因，如电脑环境未按要求设置导致签到失败、解密失败或无法解密等，视为该投标人自动放弃投标，后果由投标人自行承担。</w:t>
      </w:r>
    </w:p>
    <w:p>
      <w:pPr>
        <w:pStyle w:val="33"/>
        <w:keepNext w:val="0"/>
        <w:keepLines w:val="0"/>
        <w:pageBreakBefore w:val="0"/>
        <w:numPr>
          <w:ilvl w:val="0"/>
          <w:numId w:val="1"/>
        </w:numPr>
        <w:kinsoku/>
        <w:wordWrap/>
        <w:overflowPunct/>
        <w:topLinePunct w:val="0"/>
        <w:autoSpaceDE/>
        <w:autoSpaceDN/>
        <w:bidi w:val="0"/>
        <w:adjustRightInd/>
        <w:snapToGrid/>
        <w:ind w:firstLine="480" w:firstLineChars="200"/>
        <w:textAlignment w:val="auto"/>
        <w:rPr>
          <w:rFonts w:eastAsia="宋体"/>
          <w:lang w:eastAsia="zh-CN"/>
        </w:rPr>
      </w:pPr>
      <w:r>
        <w:rPr>
          <w:rFonts w:hint="eastAsia" w:eastAsia="宋体"/>
          <w:lang w:eastAsia="zh-CN"/>
        </w:rPr>
        <w:t>本文件内容关于开标、投标相关规定统一执行“不见面”开标。</w:t>
      </w:r>
    </w:p>
    <w:p>
      <w:pPr>
        <w:pStyle w:val="33"/>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eastAsia="宋体"/>
          <w:lang w:eastAsia="zh-CN"/>
        </w:rPr>
      </w:pPr>
      <w:r>
        <w:rPr>
          <w:rFonts w:eastAsia="宋体"/>
          <w:lang w:eastAsia="zh-CN"/>
        </w:rPr>
        <w:t>由于本项目采用竞争性磋商采购方式，在评标过程中资格审查</w:t>
      </w:r>
      <w:r>
        <w:rPr>
          <w:rFonts w:hint="eastAsia" w:eastAsia="宋体"/>
          <w:lang w:val="en-US" w:eastAsia="zh-CN"/>
        </w:rPr>
        <w:t>和符合性审查</w:t>
      </w:r>
      <w:r>
        <w:rPr>
          <w:rFonts w:eastAsia="宋体"/>
          <w:lang w:eastAsia="zh-CN"/>
        </w:rPr>
        <w:t xml:space="preserve">合格的供应商需进行二次或最终报价，政府采购类项目现启用不见面远程二次（多次）报价功能，详细操作流程详见关于优化临沂市公共资源交易系统相关功能的通知（ http://ggzyjy.linyi.gov.cn/linyi/xwzx/008002/20210415/c4feb8ff-736a-4454-92c4-a9a35a70c024.html </w:t>
      </w:r>
      <w:r>
        <w:rPr>
          <w:rFonts w:hint="eastAsia" w:eastAsia="宋体"/>
          <w:lang w:eastAsia="zh-CN"/>
        </w:rPr>
        <w:t>)因供应商自身原因，未按时参加最后报价环节的，视为供应商放弃本项目最后报价的机会，该行为带来的一切后果由供应商自行承担。</w:t>
      </w:r>
    </w:p>
    <w:p>
      <w:pPr>
        <w:rPr>
          <w:rFonts w:ascii="宋体" w:hAnsi="宋体" w:eastAsia="宋体" w:cs="宋体"/>
          <w:sz w:val="52"/>
          <w:szCs w:val="52"/>
          <w:lang w:eastAsia="zh-CN"/>
        </w:rPr>
      </w:pPr>
      <w:r>
        <w:rPr>
          <w:rFonts w:ascii="宋体" w:hAnsi="宋体" w:eastAsia="宋体" w:cs="宋体"/>
          <w:sz w:val="52"/>
          <w:szCs w:val="52"/>
          <w:lang w:eastAsia="zh-CN"/>
        </w:rPr>
        <w:br w:type="page"/>
      </w:r>
    </w:p>
    <w:p>
      <w:pPr>
        <w:spacing w:line="599" w:lineRule="exact"/>
        <w:ind w:left="4114" w:right="4112"/>
        <w:jc w:val="center"/>
        <w:rPr>
          <w:rFonts w:ascii="宋体" w:hAnsi="宋体" w:eastAsia="宋体" w:cs="宋体"/>
          <w:sz w:val="52"/>
          <w:szCs w:val="52"/>
          <w:lang w:eastAsia="zh-CN"/>
        </w:rPr>
      </w:pPr>
    </w:p>
    <w:p>
      <w:pPr>
        <w:spacing w:line="599" w:lineRule="exact"/>
        <w:ind w:left="4114" w:right="4112"/>
        <w:jc w:val="center"/>
        <w:rPr>
          <w:rFonts w:ascii="宋体" w:hAnsi="宋体" w:eastAsia="宋体" w:cs="宋体"/>
          <w:sz w:val="52"/>
          <w:szCs w:val="52"/>
          <w:lang w:eastAsia="zh-CN"/>
        </w:rPr>
      </w:pPr>
      <w:r>
        <w:rPr>
          <w:rFonts w:ascii="宋体" w:hAnsi="宋体" w:eastAsia="宋体" w:cs="宋体"/>
          <w:sz w:val="52"/>
          <w:szCs w:val="52"/>
          <w:lang w:eastAsia="zh-CN"/>
        </w:rPr>
        <w:t>目录</w:t>
      </w:r>
    </w:p>
    <w:p>
      <w:pPr>
        <w:pStyle w:val="2"/>
        <w:rPr>
          <w:sz w:val="22"/>
          <w:szCs w:val="22"/>
          <w:lang w:eastAsia="zh-CN"/>
        </w:rPr>
      </w:pPr>
    </w:p>
    <w:p>
      <w:pPr>
        <w:spacing w:before="26"/>
        <w:ind w:left="115"/>
        <w:jc w:val="center"/>
        <w:rPr>
          <w:rFonts w:ascii="宋体" w:hAnsi="宋体" w:eastAsia="宋体" w:cs="宋体"/>
          <w:sz w:val="28"/>
          <w:szCs w:val="28"/>
          <w:lang w:eastAsia="zh-CN"/>
        </w:rPr>
      </w:pPr>
      <w:r>
        <w:rPr>
          <w:rFonts w:ascii="宋体" w:hAnsi="宋体" w:eastAsia="宋体" w:cs="宋体"/>
          <w:sz w:val="28"/>
          <w:szCs w:val="28"/>
          <w:lang w:eastAsia="zh-CN"/>
        </w:rPr>
        <w:t>第一册：</w:t>
      </w:r>
    </w:p>
    <w:p>
      <w:pPr>
        <w:spacing w:before="6"/>
        <w:rPr>
          <w:rFonts w:ascii="宋体" w:hAnsi="宋体" w:eastAsia="宋体" w:cs="宋体"/>
          <w:sz w:val="13"/>
          <w:szCs w:val="13"/>
          <w:lang w:eastAsia="zh-CN"/>
        </w:rPr>
      </w:pPr>
    </w:p>
    <w:sdt>
      <w:sdtPr>
        <w:rPr>
          <w:sz w:val="28"/>
          <w:szCs w:val="28"/>
        </w:rPr>
        <w:id w:val="667564861"/>
        <w:docPartObj>
          <w:docPartGallery w:val="Table of Contents"/>
          <w:docPartUnique/>
        </w:docPartObj>
      </w:sdtPr>
      <w:sdtEndPr>
        <w:rPr>
          <w:sz w:val="28"/>
          <w:szCs w:val="28"/>
        </w:rPr>
      </w:sdtEndPr>
      <w:sdtContent>
        <w:p>
          <w:pPr>
            <w:pStyle w:val="20"/>
            <w:tabs>
              <w:tab w:val="right" w:leader="dot" w:pos="9188"/>
            </w:tabs>
            <w:spacing w:before="0"/>
            <w:rPr>
              <w:rFonts w:ascii="Calibri" w:hAnsi="Calibri" w:eastAsia="Calibri" w:cs="Calibri"/>
              <w:sz w:val="28"/>
              <w:szCs w:val="28"/>
              <w:lang w:eastAsia="zh-CN"/>
            </w:rPr>
          </w:pPr>
          <w:r>
            <w:rPr>
              <w:sz w:val="28"/>
              <w:szCs w:val="28"/>
            </w:rPr>
            <w:fldChar w:fldCharType="begin"/>
          </w:r>
          <w:r>
            <w:rPr>
              <w:sz w:val="28"/>
              <w:szCs w:val="28"/>
            </w:rPr>
            <w:instrText xml:space="preserve"> HYPERLINK \l "_bookmark0" </w:instrText>
          </w:r>
          <w:r>
            <w:rPr>
              <w:sz w:val="28"/>
              <w:szCs w:val="28"/>
            </w:rPr>
            <w:fldChar w:fldCharType="separate"/>
          </w:r>
          <w:r>
            <w:rPr>
              <w:sz w:val="28"/>
              <w:szCs w:val="28"/>
              <w:lang w:eastAsia="zh-CN"/>
            </w:rPr>
            <w:t>第</w:t>
          </w:r>
          <w:r>
            <w:rPr>
              <w:rFonts w:ascii="Calibri" w:hAnsi="Calibri" w:eastAsia="Calibri" w:cs="Calibri"/>
              <w:sz w:val="28"/>
              <w:szCs w:val="28"/>
              <w:lang w:eastAsia="zh-CN"/>
            </w:rPr>
            <w:t>1</w:t>
          </w:r>
          <w:r>
            <w:rPr>
              <w:sz w:val="28"/>
              <w:szCs w:val="28"/>
              <w:lang w:eastAsia="zh-CN"/>
            </w:rPr>
            <w:t>章供应商须知</w:t>
          </w:r>
          <w:r>
            <w:rPr>
              <w:rFonts w:ascii="Times New Roman" w:hAnsi="Times New Roman" w:eastAsia="Times New Roman" w:cs="Times New Roman"/>
              <w:sz w:val="28"/>
              <w:szCs w:val="28"/>
              <w:lang w:eastAsia="zh-CN"/>
            </w:rPr>
            <w:tab/>
          </w:r>
          <w:r>
            <w:rPr>
              <w:rFonts w:ascii="Calibri" w:hAnsi="Calibri" w:eastAsia="Calibri" w:cs="Calibri"/>
              <w:sz w:val="28"/>
              <w:szCs w:val="28"/>
              <w:lang w:eastAsia="zh-CN"/>
            </w:rPr>
            <w:t>3</w:t>
          </w:r>
          <w:r>
            <w:rPr>
              <w:rFonts w:ascii="Calibri" w:hAnsi="Calibri" w:eastAsia="Calibri" w:cs="Calibri"/>
              <w:sz w:val="28"/>
              <w:szCs w:val="28"/>
              <w:lang w:eastAsia="zh-CN"/>
            </w:rPr>
            <w:fldChar w:fldCharType="end"/>
          </w:r>
        </w:p>
        <w:p>
          <w:pPr>
            <w:pStyle w:val="20"/>
            <w:spacing w:before="164" w:line="417" w:lineRule="exact"/>
            <w:jc w:val="center"/>
            <w:rPr>
              <w:sz w:val="28"/>
              <w:szCs w:val="28"/>
              <w:lang w:eastAsia="zh-CN"/>
            </w:rPr>
          </w:pPr>
          <w:r>
            <w:rPr>
              <w:sz w:val="28"/>
              <w:szCs w:val="28"/>
            </w:rPr>
            <w:fldChar w:fldCharType="begin"/>
          </w:r>
          <w:r>
            <w:rPr>
              <w:sz w:val="28"/>
              <w:szCs w:val="28"/>
            </w:rPr>
            <w:instrText xml:space="preserve"> HYPERLINK \l "_TOC_250000" </w:instrText>
          </w:r>
          <w:r>
            <w:rPr>
              <w:sz w:val="28"/>
              <w:szCs w:val="28"/>
            </w:rPr>
            <w:fldChar w:fldCharType="separate"/>
          </w:r>
          <w:r>
            <w:rPr>
              <w:sz w:val="28"/>
              <w:szCs w:val="28"/>
              <w:lang w:eastAsia="zh-CN"/>
            </w:rPr>
            <w:t>第二册：</w:t>
          </w:r>
          <w:r>
            <w:rPr>
              <w:sz w:val="28"/>
              <w:szCs w:val="28"/>
              <w:lang w:eastAsia="zh-CN"/>
            </w:rPr>
            <w:fldChar w:fldCharType="end"/>
          </w:r>
        </w:p>
        <w:p>
          <w:pPr>
            <w:pStyle w:val="20"/>
            <w:tabs>
              <w:tab w:val="right" w:leader="dot" w:pos="9186"/>
            </w:tabs>
            <w:spacing w:before="0" w:line="458" w:lineRule="exact"/>
            <w:rPr>
              <w:rFonts w:ascii="Calibri" w:hAnsi="Calibri" w:eastAsia="Calibri" w:cs="Calibri"/>
              <w:sz w:val="28"/>
              <w:szCs w:val="28"/>
              <w:lang w:eastAsia="zh-CN"/>
            </w:rPr>
          </w:pPr>
          <w:r>
            <w:rPr>
              <w:sz w:val="28"/>
              <w:szCs w:val="28"/>
            </w:rPr>
            <w:fldChar w:fldCharType="begin"/>
          </w:r>
          <w:r>
            <w:rPr>
              <w:sz w:val="28"/>
              <w:szCs w:val="28"/>
            </w:rPr>
            <w:instrText xml:space="preserve"> HYPERLINK \l "_bookmark1" </w:instrText>
          </w:r>
          <w:r>
            <w:rPr>
              <w:sz w:val="28"/>
              <w:szCs w:val="28"/>
            </w:rPr>
            <w:fldChar w:fldCharType="separate"/>
          </w:r>
          <w:r>
            <w:rPr>
              <w:sz w:val="28"/>
              <w:szCs w:val="28"/>
              <w:lang w:eastAsia="zh-CN"/>
            </w:rPr>
            <w:t>第</w:t>
          </w:r>
          <w:r>
            <w:rPr>
              <w:rFonts w:ascii="Calibri" w:hAnsi="Calibri" w:eastAsia="Calibri" w:cs="Calibri"/>
              <w:sz w:val="28"/>
              <w:szCs w:val="28"/>
              <w:lang w:eastAsia="zh-CN"/>
            </w:rPr>
            <w:t>2</w:t>
          </w:r>
          <w:r>
            <w:rPr>
              <w:sz w:val="28"/>
              <w:szCs w:val="28"/>
              <w:lang w:eastAsia="zh-CN"/>
            </w:rPr>
            <w:t>章采购邀请</w:t>
          </w:r>
          <w:r>
            <w:rPr>
              <w:rFonts w:ascii="Times New Roman" w:hAnsi="Times New Roman" w:eastAsia="Times New Roman" w:cs="Times New Roman"/>
              <w:sz w:val="28"/>
              <w:szCs w:val="28"/>
              <w:lang w:eastAsia="zh-CN"/>
            </w:rPr>
            <w:tab/>
          </w:r>
          <w:r>
            <w:rPr>
              <w:rFonts w:ascii="Calibri" w:hAnsi="Calibri" w:eastAsia="Calibri" w:cs="Calibri"/>
              <w:sz w:val="28"/>
              <w:szCs w:val="28"/>
              <w:lang w:eastAsia="zh-CN"/>
            </w:rPr>
            <w:t>29</w:t>
          </w:r>
          <w:r>
            <w:rPr>
              <w:rFonts w:ascii="Calibri" w:hAnsi="Calibri" w:eastAsia="Calibri" w:cs="Calibri"/>
              <w:sz w:val="28"/>
              <w:szCs w:val="28"/>
              <w:lang w:eastAsia="zh-CN"/>
            </w:rPr>
            <w:fldChar w:fldCharType="end"/>
          </w:r>
        </w:p>
        <w:p>
          <w:pPr>
            <w:pStyle w:val="20"/>
            <w:tabs>
              <w:tab w:val="right" w:leader="dot" w:pos="9186"/>
            </w:tabs>
            <w:rPr>
              <w:rFonts w:ascii="Calibri" w:hAnsi="Calibri" w:eastAsia="Calibri" w:cs="Calibri"/>
              <w:sz w:val="28"/>
              <w:szCs w:val="28"/>
              <w:lang w:eastAsia="zh-CN"/>
            </w:rPr>
          </w:pPr>
          <w:r>
            <w:rPr>
              <w:sz w:val="28"/>
              <w:szCs w:val="28"/>
            </w:rPr>
            <w:fldChar w:fldCharType="begin"/>
          </w:r>
          <w:r>
            <w:rPr>
              <w:sz w:val="28"/>
              <w:szCs w:val="28"/>
            </w:rPr>
            <w:instrText xml:space="preserve"> HYPERLINK \l "_bookmark2" </w:instrText>
          </w:r>
          <w:r>
            <w:rPr>
              <w:sz w:val="28"/>
              <w:szCs w:val="28"/>
            </w:rPr>
            <w:fldChar w:fldCharType="separate"/>
          </w:r>
          <w:r>
            <w:rPr>
              <w:sz w:val="28"/>
              <w:szCs w:val="28"/>
              <w:lang w:eastAsia="zh-CN"/>
            </w:rPr>
            <w:t>第</w:t>
          </w:r>
          <w:r>
            <w:rPr>
              <w:rFonts w:ascii="Calibri" w:hAnsi="Calibri" w:eastAsia="Calibri" w:cs="Calibri"/>
              <w:sz w:val="28"/>
              <w:szCs w:val="28"/>
              <w:lang w:eastAsia="zh-CN"/>
            </w:rPr>
            <w:t>3</w:t>
          </w:r>
          <w:r>
            <w:rPr>
              <w:sz w:val="28"/>
              <w:szCs w:val="28"/>
              <w:lang w:eastAsia="zh-CN"/>
            </w:rPr>
            <w:t>章供应商须知资料表</w:t>
          </w:r>
          <w:r>
            <w:rPr>
              <w:rFonts w:ascii="Times New Roman" w:hAnsi="Times New Roman" w:eastAsia="Times New Roman" w:cs="Times New Roman"/>
              <w:sz w:val="28"/>
              <w:szCs w:val="28"/>
              <w:lang w:eastAsia="zh-CN"/>
            </w:rPr>
            <w:tab/>
          </w:r>
          <w:r>
            <w:rPr>
              <w:rFonts w:ascii="Calibri" w:hAnsi="Calibri" w:eastAsia="Calibri" w:cs="Calibri"/>
              <w:sz w:val="28"/>
              <w:szCs w:val="28"/>
              <w:lang w:eastAsia="zh-CN"/>
            </w:rPr>
            <w:t>31</w:t>
          </w:r>
          <w:r>
            <w:rPr>
              <w:rFonts w:ascii="Calibri" w:hAnsi="Calibri" w:eastAsia="Calibri" w:cs="Calibri"/>
              <w:sz w:val="28"/>
              <w:szCs w:val="28"/>
              <w:lang w:eastAsia="zh-CN"/>
            </w:rPr>
            <w:fldChar w:fldCharType="end"/>
          </w:r>
        </w:p>
        <w:p>
          <w:pPr>
            <w:pStyle w:val="20"/>
            <w:tabs>
              <w:tab w:val="right" w:leader="dot" w:pos="9186"/>
            </w:tabs>
            <w:rPr>
              <w:rFonts w:ascii="Calibri" w:hAnsi="Calibri" w:eastAsia="Calibri" w:cs="Calibri"/>
              <w:sz w:val="28"/>
              <w:szCs w:val="28"/>
              <w:lang w:eastAsia="zh-CN"/>
            </w:rPr>
          </w:pPr>
          <w:r>
            <w:rPr>
              <w:sz w:val="28"/>
              <w:szCs w:val="28"/>
            </w:rPr>
            <w:fldChar w:fldCharType="begin"/>
          </w:r>
          <w:r>
            <w:rPr>
              <w:sz w:val="28"/>
              <w:szCs w:val="28"/>
            </w:rPr>
            <w:instrText xml:space="preserve"> HYPERLINK \l "_bookmark3" </w:instrText>
          </w:r>
          <w:r>
            <w:rPr>
              <w:sz w:val="28"/>
              <w:szCs w:val="28"/>
            </w:rPr>
            <w:fldChar w:fldCharType="separate"/>
          </w:r>
          <w:r>
            <w:rPr>
              <w:sz w:val="28"/>
              <w:szCs w:val="28"/>
              <w:lang w:eastAsia="zh-CN"/>
            </w:rPr>
            <w:t>第</w:t>
          </w:r>
          <w:r>
            <w:rPr>
              <w:rFonts w:ascii="Calibri" w:hAnsi="Calibri" w:eastAsia="Calibri" w:cs="Calibri"/>
              <w:sz w:val="28"/>
              <w:szCs w:val="28"/>
              <w:lang w:eastAsia="zh-CN"/>
            </w:rPr>
            <w:t>4</w:t>
          </w:r>
          <w:r>
            <w:rPr>
              <w:sz w:val="28"/>
              <w:szCs w:val="28"/>
              <w:lang w:eastAsia="zh-CN"/>
            </w:rPr>
            <w:t>章货物需求一览表及技术规格</w:t>
          </w:r>
          <w:r>
            <w:rPr>
              <w:rFonts w:ascii="Times New Roman" w:hAnsi="Times New Roman" w:eastAsia="Times New Roman" w:cs="Times New Roman"/>
              <w:sz w:val="28"/>
              <w:szCs w:val="28"/>
              <w:lang w:eastAsia="zh-CN"/>
            </w:rPr>
            <w:tab/>
          </w:r>
          <w:r>
            <w:rPr>
              <w:rFonts w:ascii="Calibri" w:hAnsi="Calibri" w:eastAsia="Calibri" w:cs="Calibri"/>
              <w:sz w:val="28"/>
              <w:szCs w:val="28"/>
              <w:lang w:eastAsia="zh-CN"/>
            </w:rPr>
            <w:t>35</w:t>
          </w:r>
          <w:r>
            <w:rPr>
              <w:rFonts w:ascii="Calibri" w:hAnsi="Calibri" w:eastAsia="Calibri" w:cs="Calibri"/>
              <w:sz w:val="28"/>
              <w:szCs w:val="28"/>
              <w:lang w:eastAsia="zh-CN"/>
            </w:rPr>
            <w:fldChar w:fldCharType="end"/>
          </w:r>
        </w:p>
        <w:p>
          <w:pPr>
            <w:pStyle w:val="20"/>
            <w:tabs>
              <w:tab w:val="right" w:leader="dot" w:pos="9188"/>
            </w:tabs>
            <w:spacing w:before="164"/>
            <w:rPr>
              <w:rFonts w:ascii="Calibri" w:hAnsi="Calibri" w:eastAsia="Calibri" w:cs="Calibri"/>
              <w:sz w:val="28"/>
              <w:szCs w:val="28"/>
              <w:lang w:eastAsia="zh-CN"/>
            </w:rPr>
          </w:pPr>
          <w:r>
            <w:rPr>
              <w:sz w:val="28"/>
              <w:szCs w:val="28"/>
            </w:rPr>
            <w:fldChar w:fldCharType="begin"/>
          </w:r>
          <w:r>
            <w:rPr>
              <w:sz w:val="28"/>
              <w:szCs w:val="28"/>
            </w:rPr>
            <w:instrText xml:space="preserve"> HYPERLINK \l "_bookmark4" </w:instrText>
          </w:r>
          <w:r>
            <w:rPr>
              <w:sz w:val="28"/>
              <w:szCs w:val="28"/>
            </w:rPr>
            <w:fldChar w:fldCharType="separate"/>
          </w:r>
          <w:r>
            <w:rPr>
              <w:sz w:val="28"/>
              <w:szCs w:val="28"/>
              <w:lang w:eastAsia="zh-CN"/>
            </w:rPr>
            <w:t>第</w:t>
          </w:r>
          <w:r>
            <w:rPr>
              <w:rFonts w:ascii="Calibri" w:hAnsi="Calibri" w:eastAsia="Calibri" w:cs="Calibri"/>
              <w:sz w:val="28"/>
              <w:szCs w:val="28"/>
              <w:lang w:eastAsia="zh-CN"/>
            </w:rPr>
            <w:t>5</w:t>
          </w:r>
          <w:r>
            <w:rPr>
              <w:sz w:val="28"/>
              <w:szCs w:val="28"/>
              <w:lang w:eastAsia="zh-CN"/>
            </w:rPr>
            <w:t>章评审方法和标准</w:t>
          </w:r>
          <w:r>
            <w:rPr>
              <w:rFonts w:ascii="Times New Roman" w:hAnsi="Times New Roman" w:eastAsia="Times New Roman" w:cs="Times New Roman"/>
              <w:sz w:val="28"/>
              <w:szCs w:val="28"/>
              <w:lang w:eastAsia="zh-CN"/>
            </w:rPr>
            <w:tab/>
          </w:r>
          <w:r>
            <w:rPr>
              <w:rFonts w:ascii="Calibri" w:hAnsi="Calibri" w:eastAsia="Calibri" w:cs="Calibri"/>
              <w:sz w:val="28"/>
              <w:szCs w:val="28"/>
              <w:lang w:eastAsia="zh-CN"/>
            </w:rPr>
            <w:t>3</w:t>
          </w:r>
          <w:r>
            <w:rPr>
              <w:rFonts w:ascii="Calibri" w:hAnsi="Calibri" w:eastAsia="Calibri" w:cs="Calibri"/>
              <w:sz w:val="28"/>
              <w:szCs w:val="28"/>
              <w:lang w:eastAsia="zh-CN"/>
            </w:rPr>
            <w:fldChar w:fldCharType="end"/>
          </w:r>
          <w:r>
            <w:rPr>
              <w:rFonts w:ascii="Calibri" w:hAnsi="Calibri" w:eastAsia="Calibri" w:cs="Calibri"/>
              <w:sz w:val="28"/>
              <w:szCs w:val="28"/>
              <w:lang w:eastAsia="zh-CN"/>
            </w:rPr>
            <w:t>9</w:t>
          </w:r>
        </w:p>
        <w:p>
          <w:pPr>
            <w:pStyle w:val="20"/>
            <w:tabs>
              <w:tab w:val="right" w:leader="dot" w:pos="9188"/>
            </w:tabs>
            <w:rPr>
              <w:rFonts w:ascii="Calibri" w:hAnsi="Calibri" w:eastAsia="Calibri" w:cs="Calibri"/>
              <w:sz w:val="28"/>
              <w:szCs w:val="28"/>
              <w:lang w:eastAsia="zh-CN"/>
            </w:rPr>
          </w:pPr>
          <w:r>
            <w:rPr>
              <w:sz w:val="28"/>
              <w:szCs w:val="28"/>
            </w:rPr>
            <w:fldChar w:fldCharType="begin"/>
          </w:r>
          <w:r>
            <w:rPr>
              <w:sz w:val="28"/>
              <w:szCs w:val="28"/>
            </w:rPr>
            <w:instrText xml:space="preserve"> HYPERLINK \l "_bookmark5" </w:instrText>
          </w:r>
          <w:r>
            <w:rPr>
              <w:sz w:val="28"/>
              <w:szCs w:val="28"/>
            </w:rPr>
            <w:fldChar w:fldCharType="separate"/>
          </w:r>
          <w:r>
            <w:rPr>
              <w:sz w:val="28"/>
              <w:szCs w:val="28"/>
              <w:lang w:eastAsia="zh-CN"/>
            </w:rPr>
            <w:t>第</w:t>
          </w:r>
          <w:r>
            <w:rPr>
              <w:rFonts w:ascii="Calibri" w:hAnsi="Calibri" w:eastAsia="Calibri" w:cs="Calibri"/>
              <w:sz w:val="28"/>
              <w:szCs w:val="28"/>
              <w:lang w:eastAsia="zh-CN"/>
            </w:rPr>
            <w:t>6</w:t>
          </w:r>
          <w:r>
            <w:rPr>
              <w:sz w:val="28"/>
              <w:szCs w:val="28"/>
              <w:lang w:eastAsia="zh-CN"/>
            </w:rPr>
            <w:t>章响应文件格式</w:t>
          </w:r>
          <w:r>
            <w:rPr>
              <w:rFonts w:ascii="Times New Roman" w:hAnsi="Times New Roman" w:eastAsia="Times New Roman" w:cs="Times New Roman"/>
              <w:sz w:val="28"/>
              <w:szCs w:val="28"/>
              <w:lang w:eastAsia="zh-CN"/>
            </w:rPr>
            <w:tab/>
          </w:r>
          <w:r>
            <w:rPr>
              <w:rFonts w:ascii="Calibri" w:hAnsi="Calibri" w:eastAsia="Calibri" w:cs="Calibri"/>
              <w:sz w:val="28"/>
              <w:szCs w:val="28"/>
              <w:lang w:eastAsia="zh-CN"/>
            </w:rPr>
            <w:t>4</w:t>
          </w:r>
          <w:r>
            <w:rPr>
              <w:rFonts w:ascii="Calibri" w:hAnsi="Calibri" w:eastAsia="Calibri" w:cs="Calibri"/>
              <w:sz w:val="28"/>
              <w:szCs w:val="28"/>
              <w:lang w:eastAsia="zh-CN"/>
            </w:rPr>
            <w:fldChar w:fldCharType="end"/>
          </w:r>
          <w:r>
            <w:rPr>
              <w:rFonts w:ascii="Calibri" w:hAnsi="Calibri" w:eastAsia="Calibri" w:cs="Calibri"/>
              <w:sz w:val="28"/>
              <w:szCs w:val="28"/>
              <w:lang w:eastAsia="zh-CN"/>
            </w:rPr>
            <w:t>4</w:t>
          </w:r>
        </w:p>
        <w:p>
          <w:pPr>
            <w:pStyle w:val="20"/>
            <w:tabs>
              <w:tab w:val="right" w:leader="dot" w:pos="9186"/>
            </w:tabs>
            <w:rPr>
              <w:rFonts w:ascii="Calibri" w:hAnsi="Calibri" w:eastAsia="Calibri" w:cs="Calibri"/>
              <w:sz w:val="28"/>
              <w:szCs w:val="28"/>
              <w:lang w:eastAsia="zh-CN"/>
            </w:rPr>
          </w:pPr>
          <w:r>
            <w:rPr>
              <w:sz w:val="28"/>
              <w:szCs w:val="28"/>
            </w:rPr>
            <w:fldChar w:fldCharType="begin"/>
          </w:r>
          <w:r>
            <w:rPr>
              <w:sz w:val="28"/>
              <w:szCs w:val="28"/>
            </w:rPr>
            <w:instrText xml:space="preserve"> HYPERLINK \l "_bookmark6" </w:instrText>
          </w:r>
          <w:r>
            <w:rPr>
              <w:sz w:val="28"/>
              <w:szCs w:val="28"/>
            </w:rPr>
            <w:fldChar w:fldCharType="separate"/>
          </w:r>
          <w:r>
            <w:rPr>
              <w:sz w:val="28"/>
              <w:szCs w:val="28"/>
              <w:lang w:eastAsia="zh-CN"/>
            </w:rPr>
            <w:t>第</w:t>
          </w:r>
          <w:r>
            <w:rPr>
              <w:rFonts w:ascii="Calibri" w:hAnsi="Calibri" w:eastAsia="Calibri" w:cs="Calibri"/>
              <w:sz w:val="28"/>
              <w:szCs w:val="28"/>
              <w:lang w:eastAsia="zh-CN"/>
            </w:rPr>
            <w:t>7</w:t>
          </w:r>
          <w:r>
            <w:rPr>
              <w:sz w:val="28"/>
              <w:szCs w:val="28"/>
              <w:lang w:eastAsia="zh-CN"/>
            </w:rPr>
            <w:t>章政府采购合同格式</w:t>
          </w:r>
          <w:r>
            <w:rPr>
              <w:rFonts w:ascii="Times New Roman" w:hAnsi="Times New Roman" w:eastAsia="Times New Roman" w:cs="Times New Roman"/>
              <w:sz w:val="28"/>
              <w:szCs w:val="28"/>
              <w:lang w:eastAsia="zh-CN"/>
            </w:rPr>
            <w:tab/>
          </w:r>
          <w:r>
            <w:rPr>
              <w:rFonts w:ascii="Calibri" w:hAnsi="Calibri" w:eastAsia="Calibri" w:cs="Calibri"/>
              <w:sz w:val="28"/>
              <w:szCs w:val="28"/>
              <w:lang w:eastAsia="zh-CN"/>
            </w:rPr>
            <w:t>66</w:t>
          </w:r>
          <w:r>
            <w:rPr>
              <w:rFonts w:ascii="Calibri" w:hAnsi="Calibri" w:eastAsia="Calibri" w:cs="Calibri"/>
              <w:sz w:val="28"/>
              <w:szCs w:val="28"/>
              <w:lang w:eastAsia="zh-CN"/>
            </w:rPr>
            <w:fldChar w:fldCharType="end"/>
          </w:r>
        </w:p>
      </w:sdtContent>
    </w:sdt>
    <w:p>
      <w:pPr>
        <w:rPr>
          <w:rFonts w:ascii="Calibri" w:hAnsi="Calibri" w:eastAsia="Calibri" w:cs="Calibri"/>
          <w:sz w:val="21"/>
          <w:szCs w:val="21"/>
          <w:lang w:eastAsia="zh-CN"/>
        </w:rPr>
        <w:sectPr>
          <w:footerReference r:id="rId6" w:type="default"/>
          <w:pgSz w:w="11910" w:h="16840"/>
          <w:pgMar w:top="1420" w:right="1300" w:bottom="1180" w:left="1300" w:header="964" w:footer="1000" w:gutter="0"/>
          <w:pgNumType w:fmt="decimal" w:start="1"/>
          <w:cols w:space="720" w:num="1"/>
        </w:sectPr>
      </w:pPr>
    </w:p>
    <w:p>
      <w:pPr>
        <w:pStyle w:val="5"/>
        <w:spacing w:line="390" w:lineRule="exact"/>
        <w:ind w:left="3070" w:right="3393"/>
        <w:jc w:val="center"/>
        <w:rPr>
          <w:b w:val="0"/>
          <w:bCs w:val="0"/>
          <w:lang w:eastAsia="zh-CN"/>
        </w:rPr>
      </w:pPr>
      <w:bookmarkStart w:id="0" w:name="_bookmark0"/>
      <w:bookmarkEnd w:id="0"/>
      <w:bookmarkStart w:id="1" w:name="第1章供应商须知"/>
      <w:bookmarkEnd w:id="1"/>
      <w:r>
        <w:rPr>
          <w:lang w:eastAsia="zh-CN"/>
        </w:rPr>
        <w:t>第1章供应商须知</w:t>
      </w:r>
    </w:p>
    <w:p>
      <w:pPr>
        <w:spacing w:before="4"/>
        <w:rPr>
          <w:rFonts w:ascii="宋体" w:hAnsi="宋体" w:eastAsia="宋体" w:cs="宋体"/>
          <w:b/>
          <w:bCs/>
          <w:sz w:val="47"/>
          <w:szCs w:val="47"/>
          <w:lang w:eastAsia="zh-CN"/>
        </w:rPr>
      </w:pPr>
    </w:p>
    <w:p>
      <w:pPr>
        <w:pStyle w:val="8"/>
        <w:spacing w:before="0"/>
        <w:ind w:right="3301"/>
        <w:jc w:val="center"/>
        <w:rPr>
          <w:b w:val="0"/>
          <w:bCs w:val="0"/>
          <w:lang w:eastAsia="zh-CN"/>
        </w:rPr>
      </w:pPr>
      <w:bookmarkStart w:id="2" w:name="一、总则"/>
      <w:bookmarkEnd w:id="2"/>
      <w:r>
        <w:rPr>
          <w:lang w:eastAsia="zh-CN"/>
        </w:rPr>
        <w:t>一、总则</w:t>
      </w:r>
    </w:p>
    <w:p>
      <w:pPr>
        <w:pStyle w:val="10"/>
        <w:spacing w:before="184"/>
        <w:ind w:right="91"/>
        <w:rPr>
          <w:b w:val="0"/>
          <w:bCs w:val="0"/>
          <w:lang w:eastAsia="zh-CN"/>
        </w:rPr>
      </w:pPr>
      <w:bookmarkStart w:id="3" w:name="1.采购人、采购代理机构及供应商"/>
      <w:bookmarkEnd w:id="3"/>
      <w:r>
        <w:rPr>
          <w:lang w:eastAsia="zh-CN"/>
        </w:rPr>
        <w:t>1.采购人、采购代理机构及供应商</w:t>
      </w:r>
    </w:p>
    <w:p>
      <w:pPr>
        <w:pStyle w:val="2"/>
        <w:spacing w:before="151" w:line="357" w:lineRule="auto"/>
        <w:ind w:right="156" w:firstLine="480"/>
        <w:jc w:val="both"/>
        <w:rPr>
          <w:lang w:eastAsia="zh-CN"/>
        </w:rPr>
      </w:pPr>
      <w:r>
        <w:rPr>
          <w:lang w:eastAsia="zh-CN"/>
        </w:rPr>
        <w:t>1.1采购人：是指依法开展政府采购活动的国家机关、事业单位、团体组织。本项目的采购人见</w:t>
      </w:r>
      <w:r>
        <w:rPr>
          <w:u w:val="single" w:color="000000"/>
          <w:lang w:eastAsia="zh-CN"/>
        </w:rPr>
        <w:t>供应商须知资料表</w:t>
      </w:r>
      <w:r>
        <w:rPr>
          <w:lang w:eastAsia="zh-CN"/>
        </w:rPr>
        <w:t>。</w:t>
      </w:r>
    </w:p>
    <w:p>
      <w:pPr>
        <w:pStyle w:val="2"/>
        <w:spacing w:before="34" w:line="357" w:lineRule="auto"/>
        <w:ind w:left="118" w:right="156" w:firstLine="480"/>
        <w:jc w:val="both"/>
        <w:rPr>
          <w:lang w:eastAsia="zh-CN"/>
        </w:rPr>
      </w:pPr>
      <w:r>
        <w:rPr>
          <w:lang w:eastAsia="zh-CN"/>
        </w:rPr>
        <w:t>1.2采购代理机构</w:t>
      </w:r>
      <w:r>
        <w:rPr>
          <w:u w:val="single" w:color="000000"/>
          <w:lang w:eastAsia="zh-CN"/>
        </w:rPr>
        <w:t>：是指集中采购机构或从事采购代理业务的社会中介机构，本项目的采购代理机构见供应商须知资料表。</w:t>
      </w:r>
    </w:p>
    <w:p>
      <w:pPr>
        <w:pStyle w:val="2"/>
        <w:spacing w:before="36" w:line="355" w:lineRule="auto"/>
        <w:ind w:right="157" w:firstLine="480"/>
        <w:jc w:val="both"/>
        <w:rPr>
          <w:lang w:eastAsia="zh-CN"/>
        </w:rPr>
      </w:pPr>
      <w:r>
        <w:rPr>
          <w:lang w:eastAsia="zh-CN"/>
        </w:rPr>
        <w:t>1.3供应商：是指响应磋商、参加报价竞争的法人、其他组织或者自然人。潜在供</w:t>
      </w:r>
      <w:r>
        <w:rPr>
          <w:spacing w:val="-2"/>
          <w:lang w:eastAsia="zh-CN"/>
        </w:rPr>
        <w:t>应商：以竞争性磋商文件规定的方式获取本项目竞争性磋商文件的法人、其他组织或者</w:t>
      </w:r>
      <w:r>
        <w:rPr>
          <w:lang w:eastAsia="zh-CN"/>
        </w:rPr>
        <w:t>自然人。</w:t>
      </w:r>
    </w:p>
    <w:p>
      <w:pPr>
        <w:pStyle w:val="2"/>
        <w:spacing w:before="38"/>
        <w:ind w:left="595" w:right="91"/>
        <w:rPr>
          <w:lang w:eastAsia="zh-CN"/>
        </w:rPr>
      </w:pPr>
      <w:r>
        <w:rPr>
          <w:lang w:eastAsia="zh-CN"/>
        </w:rPr>
        <w:t>本项目的供应商须满足以下条件：</w:t>
      </w:r>
    </w:p>
    <w:p>
      <w:pPr>
        <w:pStyle w:val="2"/>
        <w:spacing w:before="151" w:line="357" w:lineRule="auto"/>
        <w:ind w:right="169" w:firstLine="480"/>
        <w:jc w:val="both"/>
        <w:rPr>
          <w:lang w:eastAsia="zh-CN"/>
        </w:rPr>
      </w:pPr>
      <w:r>
        <w:rPr>
          <w:lang w:eastAsia="zh-CN"/>
        </w:rPr>
        <w:t>1.3.1在中华人民共和国境内注册，能够独立承担民事责任，有生产或供应能力的本国供应商。</w:t>
      </w:r>
      <w:r>
        <w:rPr>
          <w:rFonts w:hint="eastAsia"/>
          <w:b/>
          <w:bCs/>
          <w:lang w:eastAsia="zh-CN"/>
        </w:rPr>
        <w:t>银行、保险、石油化工、电力、电信等有行业特殊性的单位，分支机构也可以参加本次采购活动，但须提供上级法人公司出具的授权书或愿意为分支机构参与投标及履约行为承担民事责任的承诺书。</w:t>
      </w:r>
    </w:p>
    <w:p>
      <w:pPr>
        <w:pStyle w:val="2"/>
        <w:spacing w:before="36" w:line="355" w:lineRule="auto"/>
        <w:ind w:right="169" w:firstLine="480"/>
        <w:jc w:val="both"/>
        <w:rPr>
          <w:lang w:eastAsia="zh-CN"/>
        </w:rPr>
      </w:pPr>
      <w:r>
        <w:rPr>
          <w:lang w:eastAsia="zh-CN"/>
        </w:rPr>
        <w:t>1.3.2具备《中华人民共和国政府采购法》第二十二条关于供应商条件的规定，遵守本项目采购人本级和上级财政部门政府采购的有关规定。</w:t>
      </w:r>
    </w:p>
    <w:p>
      <w:pPr>
        <w:pStyle w:val="2"/>
        <w:spacing w:before="38"/>
        <w:ind w:left="595" w:right="91"/>
        <w:rPr>
          <w:lang w:eastAsia="zh-CN"/>
        </w:rPr>
      </w:pPr>
      <w:r>
        <w:rPr>
          <w:lang w:eastAsia="zh-CN"/>
        </w:rPr>
        <w:t>1.3.3以竞争性磋商文件规定的方式获得了本项目的竞争性磋商文件。</w:t>
      </w:r>
    </w:p>
    <w:p>
      <w:pPr>
        <w:pStyle w:val="2"/>
        <w:spacing w:before="151"/>
        <w:ind w:left="595" w:right="91"/>
        <w:rPr>
          <w:lang w:eastAsia="zh-CN"/>
        </w:rPr>
      </w:pPr>
      <w:r>
        <w:rPr>
          <w:lang w:eastAsia="zh-CN"/>
        </w:rPr>
        <w:t>1.3.4符合</w:t>
      </w:r>
      <w:r>
        <w:rPr>
          <w:u w:val="single" w:color="000000"/>
          <w:lang w:eastAsia="zh-CN"/>
        </w:rPr>
        <w:t>供应商须知资料表</w:t>
      </w:r>
      <w:r>
        <w:rPr>
          <w:lang w:eastAsia="zh-CN"/>
        </w:rPr>
        <w:t>中规定的其他资格要求。</w:t>
      </w:r>
    </w:p>
    <w:p>
      <w:pPr>
        <w:pStyle w:val="2"/>
        <w:spacing w:line="355" w:lineRule="auto"/>
        <w:ind w:right="169" w:firstLine="480"/>
        <w:jc w:val="both"/>
        <w:rPr>
          <w:b/>
          <w:bCs/>
          <w:lang w:eastAsia="zh-CN"/>
        </w:rPr>
      </w:pPr>
      <w:r>
        <w:rPr>
          <w:lang w:eastAsia="zh-CN"/>
        </w:rPr>
        <w:t>1.3.5</w:t>
      </w:r>
      <w:r>
        <w:rPr>
          <w:b/>
          <w:bCs/>
          <w:lang w:eastAsia="zh-CN"/>
        </w:rPr>
        <w:t>若</w:t>
      </w:r>
      <w:r>
        <w:rPr>
          <w:b/>
          <w:bCs/>
          <w:u w:val="single" w:color="000000"/>
          <w:lang w:eastAsia="zh-CN"/>
        </w:rPr>
        <w:t>供应商须知资料表</w:t>
      </w:r>
      <w:r>
        <w:rPr>
          <w:b/>
          <w:bCs/>
          <w:lang w:eastAsia="zh-CN"/>
        </w:rPr>
        <w:t>中写明专门面向中小企业采购的，如供应商为非中小企业，其响应文件将被认定为响应文件无效。</w:t>
      </w:r>
    </w:p>
    <w:p>
      <w:pPr>
        <w:pStyle w:val="2"/>
        <w:spacing w:before="38" w:line="357" w:lineRule="auto"/>
        <w:ind w:right="157" w:firstLine="480"/>
        <w:jc w:val="both"/>
        <w:rPr>
          <w:lang w:eastAsia="zh-CN"/>
        </w:rPr>
      </w:pPr>
      <w:r>
        <w:rPr>
          <w:lang w:eastAsia="zh-CN"/>
        </w:rPr>
        <w:t>1.3.6</w:t>
      </w:r>
      <w:r>
        <w:rPr>
          <w:spacing w:val="-4"/>
          <w:lang w:eastAsia="zh-CN"/>
        </w:rPr>
        <w:t>进口产品,是指通过中国海关报关验放进入中国境内且产自关境外的产品。若</w:t>
      </w:r>
      <w:r>
        <w:rPr>
          <w:spacing w:val="-2"/>
          <w:u w:val="single" w:color="000000"/>
          <w:lang w:eastAsia="zh-CN"/>
        </w:rPr>
        <w:t>供应商须知资料表</w:t>
      </w:r>
      <w:r>
        <w:rPr>
          <w:spacing w:val="-2"/>
          <w:lang w:eastAsia="zh-CN"/>
        </w:rPr>
        <w:t>中写明允许采购进口产品，供应商应保证所报产品可履行合法报通关</w:t>
      </w:r>
      <w:r>
        <w:rPr>
          <w:lang w:eastAsia="zh-CN"/>
        </w:rPr>
        <w:t>手续进入中国关境内。</w:t>
      </w:r>
    </w:p>
    <w:p>
      <w:pPr>
        <w:pStyle w:val="2"/>
        <w:spacing w:before="34" w:line="357" w:lineRule="auto"/>
        <w:ind w:right="109" w:firstLine="480"/>
        <w:jc w:val="both"/>
        <w:rPr>
          <w:lang w:eastAsia="zh-CN"/>
        </w:rPr>
      </w:pPr>
      <w:r>
        <w:rPr>
          <w:lang w:eastAsia="zh-CN"/>
        </w:rPr>
        <w:t>若</w:t>
      </w:r>
      <w:r>
        <w:rPr>
          <w:u w:val="single" w:color="000000"/>
          <w:lang w:eastAsia="zh-CN"/>
        </w:rPr>
        <w:t>供应商须知资料表</w:t>
      </w:r>
      <w:r>
        <w:rPr>
          <w:lang w:eastAsia="zh-CN"/>
        </w:rPr>
        <w:t>中未写明允许采购进口产品，如供应商所报产品为进口产品， 其响应文件将被认定为无效。</w:t>
      </w:r>
    </w:p>
    <w:p>
      <w:pPr>
        <w:pStyle w:val="2"/>
        <w:spacing w:before="34" w:line="357" w:lineRule="auto"/>
        <w:ind w:right="169" w:firstLine="480"/>
        <w:jc w:val="both"/>
        <w:rPr>
          <w:lang w:eastAsia="zh-CN"/>
        </w:rPr>
      </w:pPr>
      <w:r>
        <w:rPr>
          <w:lang w:eastAsia="zh-CN"/>
        </w:rPr>
        <w:t>1.4如</w:t>
      </w:r>
      <w:r>
        <w:rPr>
          <w:u w:val="single" w:color="000000"/>
          <w:lang w:eastAsia="zh-CN"/>
        </w:rPr>
        <w:t>供应商须知资料表</w:t>
      </w:r>
      <w:r>
        <w:rPr>
          <w:lang w:eastAsia="zh-CN"/>
        </w:rPr>
        <w:t>中允许联合体进行响应，对联合体规定如下（本项目不允许）：</w:t>
      </w:r>
    </w:p>
    <w:p>
      <w:pPr>
        <w:pStyle w:val="2"/>
        <w:spacing w:before="34" w:line="357" w:lineRule="auto"/>
        <w:ind w:right="169" w:firstLine="480"/>
        <w:jc w:val="both"/>
        <w:rPr>
          <w:lang w:eastAsia="zh-CN"/>
        </w:rPr>
      </w:pPr>
      <w:r>
        <w:rPr>
          <w:lang w:eastAsia="zh-CN"/>
        </w:rPr>
        <w:t>1.4.1两个以上供应商可以组成一个联合体，以一个供应商的身份响应。</w:t>
      </w:r>
    </w:p>
    <w:p>
      <w:pPr>
        <w:pStyle w:val="2"/>
        <w:spacing w:before="34" w:line="357" w:lineRule="auto"/>
        <w:ind w:right="169" w:firstLine="480"/>
        <w:jc w:val="both"/>
        <w:rPr>
          <w:lang w:eastAsia="zh-CN"/>
        </w:rPr>
      </w:pPr>
      <w:r>
        <w:rPr>
          <w:lang w:eastAsia="zh-CN"/>
        </w:rPr>
        <w:t>1.4.2联合体各方均应符合1.3.2规定。</w:t>
      </w:r>
    </w:p>
    <w:p>
      <w:pPr>
        <w:pStyle w:val="2"/>
        <w:spacing w:before="34" w:line="357" w:lineRule="auto"/>
        <w:ind w:right="169" w:firstLine="480"/>
        <w:jc w:val="both"/>
        <w:rPr>
          <w:lang w:eastAsia="zh-CN"/>
        </w:rPr>
      </w:pPr>
      <w:r>
        <w:rPr>
          <w:lang w:eastAsia="zh-CN"/>
        </w:rPr>
        <w:t>1.4.3采购人根据采购项目对供应商的特殊要求，联合体中至少应当有一方符合相关规定。</w:t>
      </w:r>
    </w:p>
    <w:p>
      <w:pPr>
        <w:pStyle w:val="2"/>
        <w:spacing w:before="34" w:line="357" w:lineRule="auto"/>
        <w:ind w:right="169" w:firstLine="480"/>
        <w:jc w:val="both"/>
        <w:rPr>
          <w:lang w:eastAsia="zh-CN"/>
        </w:rPr>
      </w:pPr>
      <w:r>
        <w:rPr>
          <w:lang w:eastAsia="zh-CN"/>
        </w:rPr>
        <w:t>1.4.4联合体各方应签订共同响应协议，明确约定联合体各方承担的工作和相应的责任，并将共同响应协议连同响应文件一并提交，否则其响应文件将被认定为无效。</w:t>
      </w:r>
    </w:p>
    <w:p>
      <w:pPr>
        <w:pStyle w:val="2"/>
        <w:spacing w:before="34" w:line="357" w:lineRule="auto"/>
        <w:ind w:right="157" w:firstLine="480"/>
        <w:jc w:val="both"/>
        <w:rPr>
          <w:lang w:eastAsia="zh-CN"/>
        </w:rPr>
      </w:pPr>
      <w:r>
        <w:rPr>
          <w:lang w:eastAsia="zh-CN"/>
        </w:rPr>
        <w:t>1.4.5大中型企业、其他自然人、法人或者其他组织与小型、微型企业组成联合体</w:t>
      </w:r>
      <w:r>
        <w:rPr>
          <w:spacing w:val="-2"/>
          <w:lang w:eastAsia="zh-CN"/>
        </w:rPr>
        <w:t>共同参加响应，共同响应协议中应写明小型、微型企业的协议合同金额占到共同响应协</w:t>
      </w:r>
      <w:r>
        <w:rPr>
          <w:lang w:eastAsia="zh-CN"/>
        </w:rPr>
        <w:t>议响应总金额的比例。</w:t>
      </w:r>
    </w:p>
    <w:p>
      <w:pPr>
        <w:pStyle w:val="2"/>
        <w:spacing w:before="36" w:line="357" w:lineRule="auto"/>
        <w:ind w:right="169" w:firstLine="480"/>
        <w:jc w:val="both"/>
        <w:rPr>
          <w:lang w:eastAsia="zh-CN"/>
        </w:rPr>
      </w:pPr>
      <w:r>
        <w:rPr>
          <w:lang w:eastAsia="zh-CN"/>
        </w:rPr>
        <w:t>1.4.6以联合体形式参加政府采购活动的，联合体各方不得再单独参加或者与其他供应商另外组成联合体参加本项目，否则其响应文件将被认定为无效。</w:t>
      </w:r>
    </w:p>
    <w:p>
      <w:pPr>
        <w:pStyle w:val="2"/>
        <w:spacing w:before="34"/>
        <w:ind w:left="595" w:right="91"/>
        <w:rPr>
          <w:lang w:eastAsia="zh-CN"/>
        </w:rPr>
      </w:pPr>
      <w:r>
        <w:rPr>
          <w:lang w:eastAsia="zh-CN"/>
        </w:rPr>
        <w:t>1.4.7对联合体响应的其他资格要求见</w:t>
      </w:r>
      <w:r>
        <w:rPr>
          <w:u w:val="single" w:color="000000"/>
          <w:lang w:eastAsia="zh-CN"/>
        </w:rPr>
        <w:t>供应商须知资料表</w:t>
      </w:r>
      <w:r>
        <w:rPr>
          <w:lang w:eastAsia="zh-CN"/>
        </w:rPr>
        <w:t>。</w:t>
      </w:r>
    </w:p>
    <w:p>
      <w:pPr>
        <w:pStyle w:val="2"/>
        <w:spacing w:before="151" w:line="357" w:lineRule="auto"/>
        <w:ind w:right="156" w:firstLine="480"/>
        <w:jc w:val="both"/>
        <w:rPr>
          <w:lang w:eastAsia="zh-CN"/>
        </w:rPr>
      </w:pPr>
      <w:r>
        <w:rPr>
          <w:lang w:eastAsia="zh-CN"/>
        </w:rPr>
        <w:t>1.5货物，是指供应商按响应文件第八部分的要求，向采购人提供全新的、未使用过的各种形态和种类的物品，包括原材料、燃料、设备、产品等。</w:t>
      </w:r>
    </w:p>
    <w:p>
      <w:pPr>
        <w:pStyle w:val="2"/>
        <w:spacing w:before="36" w:line="355" w:lineRule="auto"/>
        <w:ind w:right="156" w:firstLine="480"/>
        <w:jc w:val="both"/>
        <w:rPr>
          <w:lang w:eastAsia="zh-CN"/>
        </w:rPr>
      </w:pPr>
      <w:r>
        <w:rPr>
          <w:lang w:eastAsia="zh-CN"/>
        </w:rPr>
        <w:t>1.6服务，是指供应商按响应文件第八部分的要求，完成规定的货物供货过程中须承担的制造、运输、吊拉、安装、调试、技术协助、培训及其他各项义务。</w:t>
      </w:r>
    </w:p>
    <w:p>
      <w:pPr>
        <w:pStyle w:val="2"/>
        <w:spacing w:before="38" w:line="355" w:lineRule="auto"/>
        <w:ind w:right="156" w:firstLine="480"/>
        <w:jc w:val="both"/>
        <w:rPr>
          <w:lang w:eastAsia="zh-CN"/>
        </w:rPr>
      </w:pPr>
      <w:r>
        <w:rPr>
          <w:lang w:eastAsia="zh-CN"/>
        </w:rPr>
        <w:t>1.7综合评分法，是指响应文件满足磋商文件全部实质性要求且按评审因素的量化指标评审得分最高的供应商为成交候选供应商的评审方法。</w:t>
      </w:r>
    </w:p>
    <w:p>
      <w:pPr>
        <w:pStyle w:val="2"/>
        <w:spacing w:before="38" w:line="355" w:lineRule="auto"/>
        <w:ind w:right="156" w:firstLine="480"/>
        <w:jc w:val="both"/>
        <w:rPr>
          <w:b w:val="0"/>
          <w:bCs w:val="0"/>
          <w:lang w:eastAsia="zh-CN"/>
        </w:rPr>
      </w:pPr>
      <w:r>
        <w:rPr>
          <w:lang w:eastAsia="zh-CN"/>
        </w:rPr>
        <w:t>1.8单位负责人为同一人或者存在直接控股、管理关系的不同供应商，不得参加同</w:t>
      </w:r>
      <w:r>
        <w:rPr>
          <w:b w:val="0"/>
          <w:bCs w:val="0"/>
          <w:lang w:eastAsia="zh-CN"/>
        </w:rPr>
        <w:t>一合同项下的政府采购活动，否则其相关响应文件均将被认定为</w:t>
      </w:r>
      <w:r>
        <w:rPr>
          <w:rFonts w:cs="宋体"/>
          <w:b w:val="0"/>
          <w:bCs w:val="0"/>
          <w:lang w:eastAsia="zh-CN"/>
        </w:rPr>
        <w:t>响应文件无效</w:t>
      </w:r>
      <w:r>
        <w:rPr>
          <w:b w:val="0"/>
          <w:bCs w:val="0"/>
          <w:lang w:eastAsia="zh-CN"/>
        </w:rPr>
        <w:t>。</w:t>
      </w:r>
    </w:p>
    <w:p>
      <w:pPr>
        <w:pStyle w:val="2"/>
        <w:spacing w:before="38" w:line="355" w:lineRule="auto"/>
        <w:ind w:right="156" w:firstLine="480"/>
        <w:jc w:val="both"/>
        <w:rPr>
          <w:lang w:eastAsia="zh-CN"/>
        </w:rPr>
      </w:pPr>
      <w:r>
        <w:rPr>
          <w:lang w:eastAsia="zh-CN"/>
        </w:rPr>
        <w:t>1.9各供应商须对本项目指定一个项目负责人，对本项目所有事宜全程负责。未经采购人同意中途不得更换项目负责人。</w:t>
      </w:r>
    </w:p>
    <w:p>
      <w:pPr>
        <w:pStyle w:val="10"/>
        <w:spacing w:before="38"/>
        <w:ind w:right="91"/>
        <w:rPr>
          <w:b w:val="0"/>
          <w:bCs w:val="0"/>
          <w:lang w:eastAsia="zh-CN"/>
        </w:rPr>
      </w:pPr>
      <w:bookmarkStart w:id="4" w:name="2.资金来源"/>
      <w:bookmarkEnd w:id="4"/>
      <w:r>
        <w:rPr>
          <w:lang w:eastAsia="zh-CN"/>
        </w:rPr>
        <w:t>2.资金来源</w:t>
      </w:r>
    </w:p>
    <w:p>
      <w:pPr>
        <w:pStyle w:val="2"/>
        <w:spacing w:before="151" w:line="357" w:lineRule="auto"/>
        <w:ind w:right="109" w:firstLine="480"/>
        <w:jc w:val="both"/>
        <w:rPr>
          <w:lang w:eastAsia="zh-CN"/>
        </w:rPr>
      </w:pPr>
      <w:r>
        <w:rPr>
          <w:lang w:eastAsia="zh-CN"/>
        </w:rPr>
        <w:t>2.1本项目的采购人已获得足以支付本次磋商后所签订的合同项下的资金（包括财政性资金和本项目采购中无法与财政性资金分割的非财政性资金，预采购项目除外）。</w:t>
      </w:r>
    </w:p>
    <w:p>
      <w:pPr>
        <w:pStyle w:val="2"/>
        <w:spacing w:before="36"/>
        <w:ind w:left="595" w:right="91"/>
        <w:rPr>
          <w:lang w:eastAsia="zh-CN"/>
        </w:rPr>
      </w:pPr>
      <w:r>
        <w:rPr>
          <w:lang w:eastAsia="zh-CN"/>
        </w:rPr>
        <w:t>2.2项目预算金额和分项或分包最高限价</w:t>
      </w:r>
      <w:r>
        <w:rPr>
          <w:u w:val="single" w:color="000000"/>
          <w:lang w:eastAsia="zh-CN"/>
        </w:rPr>
        <w:t>见供应商须知资料表</w:t>
      </w:r>
      <w:r>
        <w:rPr>
          <w:lang w:eastAsia="zh-CN"/>
        </w:rPr>
        <w:t>。</w:t>
      </w:r>
    </w:p>
    <w:p>
      <w:pPr>
        <w:pStyle w:val="2"/>
        <w:spacing w:before="151" w:line="355" w:lineRule="auto"/>
        <w:ind w:right="169" w:firstLine="480"/>
        <w:jc w:val="both"/>
        <w:rPr>
          <w:lang w:eastAsia="zh-CN"/>
        </w:rPr>
      </w:pPr>
      <w:r>
        <w:rPr>
          <w:lang w:eastAsia="zh-CN"/>
        </w:rPr>
        <w:t>2.3供应商报价超过竞争性磋商文件规定的预算金额或者分项、分包最高限价的，其响应文件将被认定为无效。</w:t>
      </w:r>
    </w:p>
    <w:p>
      <w:pPr>
        <w:pStyle w:val="2"/>
        <w:spacing w:before="151" w:line="355" w:lineRule="auto"/>
        <w:ind w:right="169" w:firstLine="480"/>
        <w:jc w:val="both"/>
        <w:rPr>
          <w:b w:val="0"/>
          <w:bCs w:val="0"/>
          <w:lang w:eastAsia="zh-CN"/>
        </w:rPr>
      </w:pPr>
      <w:bookmarkStart w:id="5" w:name="3.响应费用"/>
      <w:bookmarkEnd w:id="5"/>
      <w:r>
        <w:rPr>
          <w:b w:val="0"/>
          <w:bCs w:val="0"/>
          <w:lang w:eastAsia="zh-CN"/>
        </w:rPr>
        <w:t>3.响应费用不论响应的结果如何，供应商应承担所有与准备和参加响应有关的费用。</w:t>
      </w:r>
      <w:bookmarkStart w:id="6" w:name="4.适用法律"/>
      <w:bookmarkEnd w:id="6"/>
    </w:p>
    <w:p>
      <w:pPr>
        <w:pStyle w:val="2"/>
        <w:spacing w:before="151" w:line="355" w:lineRule="auto"/>
        <w:ind w:right="169" w:firstLine="480"/>
        <w:jc w:val="both"/>
        <w:rPr>
          <w:lang w:eastAsia="zh-CN"/>
        </w:rPr>
      </w:pPr>
      <w:r>
        <w:rPr>
          <w:b w:val="0"/>
          <w:bCs w:val="0"/>
          <w:lang w:eastAsia="zh-CN"/>
        </w:rPr>
        <w:t>4.适用法律本项目采购人、采购代理机构、供应商、磋商小组的相关行为均受《中</w:t>
      </w:r>
      <w:r>
        <w:rPr>
          <w:lang w:eastAsia="zh-CN"/>
        </w:rPr>
        <w:t>华人民共和国政府采购法》、《中华人民共和国政府采购法实施条例》及本项目本级和上级财政部门政府采购有关规定的约束和保护。</w:t>
      </w:r>
    </w:p>
    <w:p>
      <w:pPr>
        <w:rPr>
          <w:rFonts w:ascii="宋体" w:hAnsi="宋体" w:eastAsia="宋体" w:cs="宋体"/>
          <w:sz w:val="24"/>
          <w:szCs w:val="24"/>
          <w:lang w:eastAsia="zh-CN"/>
        </w:rPr>
      </w:pPr>
    </w:p>
    <w:p>
      <w:pPr>
        <w:pStyle w:val="8"/>
        <w:spacing w:before="182"/>
        <w:ind w:left="128" w:right="219"/>
        <w:jc w:val="center"/>
        <w:rPr>
          <w:b w:val="0"/>
          <w:bCs w:val="0"/>
          <w:lang w:eastAsia="zh-CN"/>
        </w:rPr>
      </w:pPr>
      <w:bookmarkStart w:id="7" w:name="二、竞争性磋商文件"/>
      <w:bookmarkEnd w:id="7"/>
      <w:r>
        <w:rPr>
          <w:lang w:eastAsia="zh-CN"/>
        </w:rPr>
        <w:t>二、竞争性磋商文件</w:t>
      </w:r>
    </w:p>
    <w:p>
      <w:pPr>
        <w:rPr>
          <w:rFonts w:ascii="宋体" w:hAnsi="宋体" w:eastAsia="宋体" w:cs="宋体"/>
          <w:b/>
          <w:bCs/>
          <w:sz w:val="28"/>
          <w:szCs w:val="28"/>
          <w:lang w:eastAsia="zh-CN"/>
        </w:rPr>
      </w:pPr>
    </w:p>
    <w:p>
      <w:pPr>
        <w:pStyle w:val="10"/>
        <w:spacing w:before="0"/>
        <w:ind w:left="0" w:leftChars="0" w:right="104" w:firstLine="482" w:firstLineChars="200"/>
        <w:rPr>
          <w:b w:val="0"/>
          <w:bCs w:val="0"/>
          <w:lang w:eastAsia="zh-CN"/>
        </w:rPr>
      </w:pPr>
      <w:bookmarkStart w:id="8" w:name="5.竞争性磋商文件构成"/>
      <w:bookmarkEnd w:id="8"/>
      <w:r>
        <w:rPr>
          <w:lang w:eastAsia="zh-CN"/>
        </w:rPr>
        <w:t>5.竞争性磋商文件构成</w:t>
      </w:r>
    </w:p>
    <w:p>
      <w:pPr>
        <w:pStyle w:val="2"/>
        <w:spacing w:line="355" w:lineRule="auto"/>
        <w:ind w:left="1016" w:right="3590" w:hanging="420"/>
        <w:rPr>
          <w:lang w:eastAsia="zh-CN"/>
        </w:rPr>
      </w:pPr>
      <w:r>
        <w:rPr>
          <w:lang w:eastAsia="zh-CN"/>
        </w:rPr>
        <w:t>5.1竞争性磋商文件分为2册共7章，内容如下： 第一册</w:t>
      </w:r>
    </w:p>
    <w:p>
      <w:pPr>
        <w:pStyle w:val="2"/>
        <w:spacing w:before="38" w:line="355" w:lineRule="auto"/>
        <w:ind w:left="1018" w:right="6411"/>
        <w:rPr>
          <w:lang w:eastAsia="zh-CN"/>
        </w:rPr>
      </w:pPr>
      <w:r>
        <w:rPr>
          <w:lang w:eastAsia="zh-CN"/>
        </w:rPr>
        <w:t>第1章供应商须知 第二册</w:t>
      </w:r>
    </w:p>
    <w:p>
      <w:pPr>
        <w:pStyle w:val="2"/>
        <w:spacing w:before="38"/>
        <w:ind w:left="1018" w:right="104"/>
        <w:rPr>
          <w:lang w:eastAsia="zh-CN"/>
        </w:rPr>
      </w:pPr>
      <w:r>
        <w:rPr>
          <w:lang w:eastAsia="zh-CN"/>
        </w:rPr>
        <w:t>第2章采购邀请</w:t>
      </w:r>
    </w:p>
    <w:p>
      <w:pPr>
        <w:pStyle w:val="2"/>
        <w:spacing w:before="151"/>
        <w:ind w:left="1018" w:right="104"/>
        <w:rPr>
          <w:lang w:eastAsia="zh-CN"/>
        </w:rPr>
      </w:pPr>
      <w:r>
        <w:rPr>
          <w:lang w:eastAsia="zh-CN"/>
        </w:rPr>
        <w:t>第3章供应商须知资料表</w:t>
      </w:r>
    </w:p>
    <w:p>
      <w:pPr>
        <w:pStyle w:val="2"/>
        <w:spacing w:line="357" w:lineRule="auto"/>
        <w:ind w:left="1018" w:right="4731"/>
        <w:rPr>
          <w:lang w:eastAsia="zh-CN"/>
        </w:rPr>
      </w:pPr>
      <w:r>
        <w:rPr>
          <w:lang w:eastAsia="zh-CN"/>
        </w:rPr>
        <w:t>第4章货物需求一览表及技术规格 第5章评审方法和标准</w:t>
      </w:r>
    </w:p>
    <w:p>
      <w:pPr>
        <w:pStyle w:val="2"/>
        <w:spacing w:before="34"/>
        <w:ind w:left="1018" w:right="104"/>
        <w:rPr>
          <w:lang w:eastAsia="zh-CN"/>
        </w:rPr>
      </w:pPr>
      <w:r>
        <w:rPr>
          <w:lang w:eastAsia="zh-CN"/>
        </w:rPr>
        <w:t>第6章响应文件格式</w:t>
      </w:r>
    </w:p>
    <w:p>
      <w:pPr>
        <w:pStyle w:val="2"/>
        <w:spacing w:before="151"/>
        <w:ind w:left="1018" w:right="104"/>
        <w:rPr>
          <w:lang w:eastAsia="zh-CN"/>
        </w:rPr>
      </w:pPr>
      <w:r>
        <w:rPr>
          <w:lang w:eastAsia="zh-CN"/>
        </w:rPr>
        <w:t>第7章政府采购合同格式</w:t>
      </w:r>
    </w:p>
    <w:p>
      <w:pPr>
        <w:pStyle w:val="2"/>
        <w:spacing w:line="357" w:lineRule="auto"/>
        <w:ind w:right="237" w:firstLine="480"/>
        <w:jc w:val="both"/>
        <w:rPr>
          <w:lang w:eastAsia="zh-CN"/>
        </w:rPr>
      </w:pPr>
      <w:r>
        <w:rPr>
          <w:lang w:eastAsia="zh-CN"/>
        </w:rPr>
        <w:t>5.2竞争性磋商文件中有不一致的，有澄清的部分以最终的澄清更正内容为准；未</w:t>
      </w:r>
      <w:r>
        <w:rPr>
          <w:spacing w:val="-2"/>
          <w:lang w:eastAsia="zh-CN"/>
        </w:rPr>
        <w:t>澄清的，以供应商须知资料表为准；供应商须知资料表不涉及的内容，以编排在后的描</w:t>
      </w:r>
      <w:r>
        <w:rPr>
          <w:lang w:eastAsia="zh-CN"/>
        </w:rPr>
        <w:t>述为准。</w:t>
      </w:r>
    </w:p>
    <w:p>
      <w:pPr>
        <w:pStyle w:val="2"/>
        <w:spacing w:before="36" w:line="357" w:lineRule="auto"/>
        <w:ind w:right="228" w:firstLine="480"/>
        <w:jc w:val="both"/>
        <w:rPr>
          <w:rFonts w:cs="宋体"/>
          <w:lang w:eastAsia="zh-CN"/>
        </w:rPr>
      </w:pPr>
      <w:r>
        <w:rPr>
          <w:lang w:eastAsia="zh-CN"/>
        </w:rPr>
        <w:t>5.3供应商应认真阅读竞争性磋商文件所有的事项、格式、条款和技术规范等。如</w:t>
      </w:r>
      <w:r>
        <w:rPr>
          <w:spacing w:val="-2"/>
          <w:lang w:eastAsia="zh-CN"/>
        </w:rPr>
        <w:t>供应商没有按照竞争性磋商文件要求提交全部资料，或者响应文件没有对竞争性磋商文件在各方面都做出实质性响应，可能导致其响应文件将被认定为无效，</w:t>
      </w:r>
      <w:r>
        <w:rPr>
          <w:rFonts w:cs="宋体"/>
          <w:b/>
          <w:bCs/>
          <w:spacing w:val="-2"/>
          <w:lang w:eastAsia="zh-CN"/>
        </w:rPr>
        <w:t>该风险由供应商</w:t>
      </w:r>
      <w:r>
        <w:rPr>
          <w:rFonts w:cs="宋体"/>
          <w:b/>
          <w:bCs/>
          <w:lang w:eastAsia="zh-CN"/>
        </w:rPr>
        <w:t>承担。</w:t>
      </w:r>
    </w:p>
    <w:p>
      <w:pPr>
        <w:pStyle w:val="2"/>
        <w:spacing w:before="36"/>
        <w:ind w:left="595" w:right="104"/>
        <w:rPr>
          <w:lang w:eastAsia="zh-CN"/>
        </w:rPr>
      </w:pPr>
      <w:r>
        <w:rPr>
          <w:lang w:eastAsia="zh-CN"/>
        </w:rPr>
        <w:t>5.4响应文件以中文编印，且以中文为准。</w:t>
      </w:r>
    </w:p>
    <w:p>
      <w:pPr>
        <w:pStyle w:val="2"/>
        <w:spacing w:before="151" w:line="357" w:lineRule="auto"/>
        <w:ind w:right="104" w:firstLine="480"/>
        <w:rPr>
          <w:lang w:eastAsia="zh-CN"/>
        </w:rPr>
      </w:pPr>
      <w:r>
        <w:rPr>
          <w:lang w:eastAsia="zh-CN"/>
        </w:rPr>
        <w:t>5.5</w:t>
      </w:r>
      <w:r>
        <w:rPr>
          <w:spacing w:val="-4"/>
          <w:lang w:eastAsia="zh-CN"/>
        </w:rPr>
        <w:t>除非有特殊要求，响应文件不单独提供响应货物使用地的自然环境、气候条件、</w:t>
      </w:r>
      <w:r>
        <w:rPr>
          <w:lang w:eastAsia="zh-CN"/>
        </w:rPr>
        <w:t>公用设施等情况，供应商被视为熟悉上述与履行合同有关的一切情况。</w:t>
      </w:r>
    </w:p>
    <w:p>
      <w:pPr>
        <w:pStyle w:val="2"/>
        <w:spacing w:before="34"/>
        <w:ind w:left="595" w:right="104"/>
        <w:rPr>
          <w:lang w:eastAsia="zh-CN"/>
        </w:rPr>
      </w:pPr>
      <w:r>
        <w:rPr>
          <w:lang w:eastAsia="zh-CN"/>
        </w:rPr>
        <w:t>5.6现场考察或者答疑会及相关事项见</w:t>
      </w:r>
      <w:r>
        <w:rPr>
          <w:u w:val="single" w:color="000000"/>
          <w:lang w:eastAsia="zh-CN"/>
        </w:rPr>
        <w:t>供应商须知资料表</w:t>
      </w:r>
      <w:r>
        <w:rPr>
          <w:lang w:eastAsia="zh-CN"/>
        </w:rPr>
        <w:t>。</w:t>
      </w:r>
    </w:p>
    <w:p>
      <w:pPr>
        <w:pStyle w:val="2"/>
        <w:spacing w:line="357" w:lineRule="auto"/>
        <w:ind w:right="104" w:firstLine="480"/>
        <w:rPr>
          <w:lang w:eastAsia="zh-CN"/>
        </w:rPr>
      </w:pPr>
      <w:r>
        <w:rPr>
          <w:lang w:eastAsia="zh-CN"/>
        </w:rPr>
        <w:t>5.6.1响应文件第二册第</w:t>
      </w:r>
      <w:r>
        <w:rPr>
          <w:rFonts w:cs="宋体"/>
          <w:b/>
          <w:bCs/>
          <w:lang w:eastAsia="zh-CN"/>
        </w:rPr>
        <w:t>三</w:t>
      </w:r>
      <w:r>
        <w:rPr>
          <w:lang w:eastAsia="zh-CN"/>
        </w:rPr>
        <w:t>部分“供应商须知资料表”规定组织踏勘现场的，采购</w:t>
      </w:r>
      <w:r>
        <w:rPr>
          <w:spacing w:val="-5"/>
          <w:lang w:eastAsia="zh-CN"/>
        </w:rPr>
        <w:t>人按规定的时间、地点组织供应商踏勘项目现场，踏勘现场所发生的费用由供应商承担。</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lang w:eastAsia="zh-CN"/>
        </w:rPr>
      </w:pPr>
      <w:r>
        <w:rPr>
          <w:lang w:eastAsia="zh-CN"/>
        </w:rPr>
        <w:t>5.6.2采购人向供应商提供的有关现场的资料和数据，是采购人现有的能使供应商利用的资料，采购人对供应商由此而做出的推论、理解和结论概不负责。</w:t>
      </w:r>
    </w:p>
    <w:p>
      <w:pPr>
        <w:pStyle w:val="2"/>
        <w:spacing w:line="357" w:lineRule="auto"/>
        <w:ind w:right="237" w:firstLine="480"/>
        <w:jc w:val="both"/>
        <w:rPr>
          <w:lang w:eastAsia="zh-CN"/>
        </w:rPr>
      </w:pPr>
      <w:r>
        <w:rPr>
          <w:lang w:eastAsia="zh-CN"/>
        </w:rPr>
        <w:t>5.6.3供应商经过采购人的允许，可进入项目现场踏勘，对供货（或施工）现场及</w:t>
      </w:r>
      <w:r>
        <w:rPr>
          <w:spacing w:val="-2"/>
          <w:lang w:eastAsia="zh-CN"/>
        </w:rPr>
        <w:t>其范围环境进行考察，以获取有关编制响应文件和签署实施合同所需的各项资料，但供应商及其人员不得因此使采购人及其人员承担有关的责任和蒙受损失。供应商并应对由此次踏勘现场而造成的死亡、人身伤害、财产损失、损害以及任何其它损失、损害和引</w:t>
      </w:r>
      <w:r>
        <w:rPr>
          <w:lang w:eastAsia="zh-CN"/>
        </w:rPr>
        <w:t>起的费用和开支承担责任。</w:t>
      </w:r>
    </w:p>
    <w:p>
      <w:pPr>
        <w:pStyle w:val="2"/>
        <w:spacing w:before="34"/>
        <w:ind w:left="595"/>
        <w:rPr>
          <w:lang w:eastAsia="zh-CN"/>
        </w:rPr>
      </w:pPr>
      <w:r>
        <w:rPr>
          <w:lang w:eastAsia="zh-CN"/>
        </w:rPr>
        <w:t>5.7</w:t>
      </w:r>
      <w:r>
        <w:rPr>
          <w:spacing w:val="-4"/>
          <w:lang w:eastAsia="zh-CN"/>
        </w:rPr>
        <w:t>不论响应过程和响应文件结果如何，供应商的响应文件（含电子版）均不退还。</w:t>
      </w:r>
    </w:p>
    <w:p>
      <w:pPr>
        <w:pStyle w:val="2"/>
        <w:spacing w:line="357" w:lineRule="auto"/>
        <w:ind w:right="237" w:firstLine="480"/>
        <w:jc w:val="both"/>
        <w:rPr>
          <w:lang w:eastAsia="zh-CN"/>
        </w:rPr>
      </w:pPr>
      <w:r>
        <w:rPr>
          <w:lang w:eastAsia="zh-CN"/>
        </w:rPr>
        <w:t>5.8除响应文件中另有规定外，响应文件所使用的时间单位“天”、“日”均指日历天，且所有时刻均为北京时间。</w:t>
      </w:r>
    </w:p>
    <w:p>
      <w:pPr>
        <w:pStyle w:val="2"/>
        <w:spacing w:before="34" w:line="355" w:lineRule="auto"/>
        <w:ind w:right="236" w:firstLine="480"/>
        <w:jc w:val="both"/>
        <w:rPr>
          <w:lang w:eastAsia="zh-CN"/>
        </w:rPr>
      </w:pPr>
      <w:r>
        <w:rPr>
          <w:lang w:eastAsia="zh-CN"/>
        </w:rPr>
        <w:t>5.9参与响应响应文件活动的各方应对响应文件和响应文件中的商业和技术等秘密保密，违者应对由此造成的后果承担法律责任。</w:t>
      </w:r>
    </w:p>
    <w:p>
      <w:pPr>
        <w:pStyle w:val="2"/>
        <w:spacing w:before="38" w:line="357" w:lineRule="auto"/>
        <w:ind w:right="237" w:firstLine="480"/>
        <w:jc w:val="both"/>
        <w:rPr>
          <w:lang w:eastAsia="zh-CN"/>
        </w:rPr>
      </w:pPr>
      <w:r>
        <w:rPr>
          <w:lang w:eastAsia="zh-CN"/>
        </w:rPr>
        <w:t>5.10</w:t>
      </w:r>
      <w:r>
        <w:rPr>
          <w:spacing w:val="-4"/>
          <w:lang w:eastAsia="zh-CN"/>
        </w:rPr>
        <w:t>供应商应自行承担其准备和参加响应文件活动发生的所有费用。不论响应文件</w:t>
      </w:r>
      <w:r>
        <w:rPr>
          <w:lang w:eastAsia="zh-CN"/>
        </w:rPr>
        <w:t>结果如何，采购人及采购代理机构在任何情况下无义务也无责任承担这些费用。</w:t>
      </w:r>
    </w:p>
    <w:p>
      <w:pPr>
        <w:pStyle w:val="10"/>
        <w:ind w:right="104"/>
        <w:rPr>
          <w:b w:val="0"/>
          <w:bCs w:val="0"/>
          <w:lang w:eastAsia="zh-CN"/>
        </w:rPr>
      </w:pPr>
      <w:bookmarkStart w:id="9" w:name="6.竞争性磋商文件的澄清与修改"/>
      <w:bookmarkEnd w:id="9"/>
      <w:r>
        <w:rPr>
          <w:lang w:eastAsia="zh-CN"/>
        </w:rPr>
        <w:t>6.竞争性磋商文件的澄清与修改</w:t>
      </w:r>
    </w:p>
    <w:p>
      <w:pPr>
        <w:pStyle w:val="2"/>
        <w:spacing w:line="357" w:lineRule="auto"/>
        <w:ind w:right="231" w:firstLine="480"/>
        <w:jc w:val="both"/>
        <w:rPr>
          <w:lang w:eastAsia="zh-CN"/>
        </w:rPr>
      </w:pPr>
      <w:r>
        <w:rPr>
          <w:lang w:eastAsia="zh-CN"/>
        </w:rPr>
        <w:t>6.1采购人可主动地或在解答供应商提出的澄清问题时对竞争性磋商文件澄清或修</w:t>
      </w:r>
      <w:r>
        <w:rPr>
          <w:spacing w:val="-2"/>
          <w:lang w:eastAsia="zh-CN"/>
        </w:rPr>
        <w:t>改。采购代理机构将以发布澄清（更正）公告的方式，澄清或修改竞争性磋商文件，澄清或修改内容作为竞争性磋商文件的组成部分。如果本项目在开标前通过临沂市公共资源交易网发布了答疑文件，请供应商自行下载答疑文件（请自行关注），并依据答疑文</w:t>
      </w:r>
      <w:r>
        <w:rPr>
          <w:lang w:eastAsia="zh-CN"/>
        </w:rPr>
        <w:t>件制作响应文件，否则后果自负。</w:t>
      </w:r>
    </w:p>
    <w:p>
      <w:pPr>
        <w:pStyle w:val="2"/>
        <w:spacing w:before="34" w:line="357" w:lineRule="auto"/>
        <w:ind w:right="237" w:firstLine="480"/>
        <w:jc w:val="both"/>
        <w:rPr>
          <w:lang w:eastAsia="zh-CN"/>
        </w:rPr>
      </w:pPr>
      <w:r>
        <w:rPr>
          <w:lang w:eastAsia="zh-CN"/>
        </w:rPr>
        <w:t>6.2澄清或者修改的内容可能影响响应文件编制的，采购代理机构应当在报价截止时间至少5日前，将以书面或公告等形式通知所有获取竞争性磋商文件的潜在供应商，</w:t>
      </w:r>
      <w:r>
        <w:rPr>
          <w:spacing w:val="-2"/>
          <w:lang w:eastAsia="zh-CN"/>
        </w:rPr>
        <w:t>并对其具有约束力。供应商在收到上述通知后，应及时向采购代理机构回函确认。供应</w:t>
      </w:r>
      <w:r>
        <w:rPr>
          <w:lang w:eastAsia="zh-CN"/>
        </w:rPr>
        <w:t>商未回复的，视同已知晓澄清或者修改的内容。</w:t>
      </w:r>
    </w:p>
    <w:p>
      <w:pPr>
        <w:pStyle w:val="2"/>
        <w:spacing w:before="36" w:line="355" w:lineRule="auto"/>
        <w:ind w:right="237" w:firstLine="480"/>
        <w:jc w:val="both"/>
        <w:rPr>
          <w:lang w:eastAsia="zh-CN"/>
        </w:rPr>
      </w:pPr>
      <w:r>
        <w:rPr>
          <w:spacing w:val="-2"/>
          <w:lang w:eastAsia="zh-CN"/>
        </w:rPr>
        <w:t>因潜在供应商原因或通讯线路故障导致逾期送达或无法送达，采购代理机构不因此</w:t>
      </w:r>
      <w:r>
        <w:rPr>
          <w:lang w:eastAsia="zh-CN"/>
        </w:rPr>
        <w:t>承担任何责任，有关的磋商采购活动可以继续有效进行。</w:t>
      </w:r>
    </w:p>
    <w:p>
      <w:pPr>
        <w:pStyle w:val="2"/>
        <w:spacing w:before="36" w:line="357" w:lineRule="auto"/>
        <w:ind w:right="189" w:firstLine="480"/>
        <w:jc w:val="both"/>
        <w:rPr>
          <w:lang w:eastAsia="zh-CN"/>
        </w:rPr>
      </w:pPr>
      <w:r>
        <w:rPr>
          <w:lang w:eastAsia="zh-CN"/>
        </w:rPr>
        <w:t>6.3供应商认为响应文件存在歧视性条款或不合理要求等需要澄清的，应在规定时间内一次性全部提出。如在规定时间内，供应商对响应文件中的各项条款未提出异议，即认为同意和接受响应文件。</w:t>
      </w:r>
    </w:p>
    <w:p>
      <w:pPr>
        <w:pStyle w:val="2"/>
        <w:spacing w:before="36" w:line="357" w:lineRule="auto"/>
        <w:ind w:right="189" w:firstLine="480"/>
        <w:jc w:val="both"/>
        <w:rPr>
          <w:lang w:eastAsia="zh-CN"/>
        </w:rPr>
      </w:pPr>
      <w:bookmarkStart w:id="10" w:name="7.提交响应文件截止时间的顺延"/>
      <w:bookmarkEnd w:id="10"/>
      <w:r>
        <w:rPr>
          <w:b w:val="0"/>
          <w:bCs w:val="0"/>
          <w:lang w:eastAsia="zh-CN"/>
        </w:rPr>
        <w:t>7.提交响应文件截止时间的顺延为使供应商准备响应时有足够的时间对竞争性磋</w:t>
      </w:r>
      <w:r>
        <w:rPr>
          <w:lang w:eastAsia="zh-CN"/>
        </w:rPr>
        <w:t>商文件的澄清或者修改部分进行研究，采购人将依法决定是否顺延提交响应文件截止时间。</w:t>
      </w:r>
    </w:p>
    <w:p>
      <w:pPr>
        <w:pStyle w:val="8"/>
        <w:spacing w:before="148"/>
        <w:ind w:left="3382" w:right="3453"/>
        <w:jc w:val="center"/>
        <w:rPr>
          <w:b w:val="0"/>
          <w:bCs w:val="0"/>
          <w:lang w:eastAsia="zh-CN"/>
        </w:rPr>
      </w:pPr>
      <w:bookmarkStart w:id="11" w:name="三、响应文件的编制"/>
      <w:bookmarkEnd w:id="11"/>
      <w:r>
        <w:rPr>
          <w:lang w:eastAsia="zh-CN"/>
        </w:rPr>
        <w:t>三、响应文件的编制</w:t>
      </w:r>
    </w:p>
    <w:p>
      <w:pPr>
        <w:pStyle w:val="10"/>
        <w:spacing w:before="184"/>
        <w:ind w:right="211"/>
        <w:rPr>
          <w:b w:val="0"/>
          <w:bCs w:val="0"/>
          <w:lang w:eastAsia="zh-CN"/>
        </w:rPr>
      </w:pPr>
      <w:bookmarkStart w:id="12" w:name="8.编制要求"/>
      <w:bookmarkEnd w:id="12"/>
      <w:r>
        <w:rPr>
          <w:lang w:eastAsia="zh-CN"/>
        </w:rPr>
        <w:t>8.编制要求</w:t>
      </w:r>
    </w:p>
    <w:p>
      <w:pPr>
        <w:pStyle w:val="2"/>
        <w:spacing w:before="151" w:line="357" w:lineRule="auto"/>
        <w:ind w:right="217" w:firstLine="480"/>
        <w:jc w:val="both"/>
        <w:rPr>
          <w:lang w:eastAsia="zh-CN"/>
        </w:rPr>
      </w:pPr>
      <w:r>
        <w:rPr>
          <w:lang w:eastAsia="zh-CN"/>
        </w:rPr>
        <w:t>8.1供应商应仔细阅读磋商文件的所有内容，按照磋商文件的要求及格式编制响应</w:t>
      </w:r>
      <w:r>
        <w:rPr>
          <w:spacing w:val="-2"/>
          <w:lang w:eastAsia="zh-CN"/>
        </w:rPr>
        <w:t>文件，并保证其真实性。若供应商没有按照磋商文件要求提交全部实质性要求资料或对</w:t>
      </w:r>
      <w:r>
        <w:rPr>
          <w:lang w:eastAsia="zh-CN"/>
        </w:rPr>
        <w:t>实质性要求未作响应是供应商的风险，其</w:t>
      </w:r>
      <w:r>
        <w:rPr>
          <w:rFonts w:cs="宋体"/>
          <w:b/>
          <w:bCs/>
          <w:lang w:eastAsia="zh-CN"/>
        </w:rPr>
        <w:t>响应文件将会被拒绝</w:t>
      </w:r>
      <w:r>
        <w:rPr>
          <w:lang w:eastAsia="zh-CN"/>
        </w:rPr>
        <w:t>。</w:t>
      </w:r>
    </w:p>
    <w:p>
      <w:pPr>
        <w:pStyle w:val="2"/>
        <w:spacing w:before="36" w:line="355" w:lineRule="auto"/>
        <w:ind w:right="211" w:firstLine="480"/>
        <w:rPr>
          <w:lang w:eastAsia="zh-CN"/>
        </w:rPr>
      </w:pPr>
      <w:r>
        <w:rPr>
          <w:lang w:eastAsia="zh-CN"/>
        </w:rPr>
        <w:t>8.2供应商对多个分包进行响应文件的，可以分包为单位编制响应文件，也可合并编制响应文件，每一包响应文件均需满足本响应文件对响应文件的签署、盖章要求。</w:t>
      </w:r>
    </w:p>
    <w:p>
      <w:pPr>
        <w:pStyle w:val="2"/>
        <w:keepNext w:val="0"/>
        <w:keepLines w:val="0"/>
        <w:pageBreakBefore w:val="0"/>
        <w:widowControl w:val="0"/>
        <w:kinsoku/>
        <w:wordWrap/>
        <w:overflowPunct/>
        <w:topLinePunct w:val="0"/>
        <w:autoSpaceDE/>
        <w:autoSpaceDN/>
        <w:bidi w:val="0"/>
        <w:adjustRightInd/>
        <w:snapToGrid/>
        <w:spacing w:before="0" w:line="356" w:lineRule="auto"/>
        <w:ind w:left="0" w:right="0" w:firstLine="420"/>
        <w:textAlignment w:val="auto"/>
        <w:rPr>
          <w:lang w:eastAsia="zh-CN"/>
        </w:rPr>
      </w:pPr>
      <w:r>
        <w:rPr>
          <w:lang w:eastAsia="zh-CN"/>
        </w:rPr>
        <w:t>8.3封面设置 响应文件材料封面设置包括：“响应文件”、项目名称、项目编号、所投包号、供应商名称。</w:t>
      </w:r>
    </w:p>
    <w:p>
      <w:pPr>
        <w:pStyle w:val="2"/>
        <w:spacing w:before="151"/>
        <w:ind w:left="595" w:right="211"/>
        <w:rPr>
          <w:lang w:eastAsia="zh-CN"/>
        </w:rPr>
      </w:pPr>
      <w:r>
        <w:rPr>
          <w:lang w:eastAsia="zh-CN"/>
        </w:rPr>
        <w:t>8.4供应商应按响应文件的要求及格式编写其响应文件。</w:t>
      </w:r>
    </w:p>
    <w:p>
      <w:pPr>
        <w:pStyle w:val="2"/>
        <w:ind w:left="595" w:right="211"/>
        <w:rPr>
          <w:lang w:eastAsia="zh-CN"/>
        </w:rPr>
      </w:pPr>
      <w:r>
        <w:rPr>
          <w:lang w:eastAsia="zh-CN"/>
        </w:rPr>
        <w:t>8.5供应商应编制响应文件目录、内容，标注页码。</w:t>
      </w:r>
    </w:p>
    <w:p>
      <w:pPr>
        <w:pStyle w:val="2"/>
        <w:ind w:left="595" w:right="211"/>
        <w:rPr>
          <w:lang w:eastAsia="zh-CN"/>
        </w:rPr>
      </w:pPr>
      <w:r>
        <w:rPr>
          <w:lang w:eastAsia="zh-CN"/>
        </w:rPr>
        <w:t>8.6关于兼投不兼中要求详见：</w:t>
      </w:r>
      <w:r>
        <w:rPr>
          <w:u w:val="single" w:color="000000"/>
          <w:lang w:eastAsia="zh-CN"/>
        </w:rPr>
        <w:t>供应商须知资料表</w:t>
      </w:r>
      <w:r>
        <w:rPr>
          <w:lang w:eastAsia="zh-CN"/>
        </w:rPr>
        <w:t>。</w:t>
      </w:r>
    </w:p>
    <w:p>
      <w:pPr>
        <w:pStyle w:val="10"/>
        <w:spacing w:before="151"/>
        <w:ind w:right="211"/>
        <w:rPr>
          <w:b w:val="0"/>
          <w:bCs w:val="0"/>
          <w:lang w:eastAsia="zh-CN"/>
        </w:rPr>
      </w:pPr>
      <w:bookmarkStart w:id="13" w:name="9.响应范围及响应文件中标准和计量单位的使用"/>
      <w:bookmarkEnd w:id="13"/>
      <w:r>
        <w:rPr>
          <w:lang w:eastAsia="zh-CN"/>
        </w:rPr>
        <w:t>9.响应范围及响应文件中标准和计量单位的使用</w:t>
      </w:r>
    </w:p>
    <w:p>
      <w:pPr>
        <w:pStyle w:val="2"/>
        <w:spacing w:before="151" w:line="357" w:lineRule="auto"/>
        <w:ind w:right="211" w:firstLine="480"/>
        <w:rPr>
          <w:lang w:eastAsia="zh-CN"/>
        </w:rPr>
      </w:pPr>
      <w:r>
        <w:rPr>
          <w:lang w:eastAsia="zh-CN"/>
        </w:rPr>
        <w:t>9.1供应商可对竞争性磋商文件其中一个或几个分包进行响应。除非在</w:t>
      </w:r>
      <w:r>
        <w:rPr>
          <w:u w:val="single" w:color="000000"/>
          <w:lang w:eastAsia="zh-CN"/>
        </w:rPr>
        <w:t>供应商须知资料表</w:t>
      </w:r>
      <w:r>
        <w:rPr>
          <w:lang w:eastAsia="zh-CN"/>
        </w:rPr>
        <w:t>中另有规定。</w:t>
      </w:r>
    </w:p>
    <w:p>
      <w:pPr>
        <w:pStyle w:val="2"/>
        <w:spacing w:before="36" w:line="355" w:lineRule="auto"/>
        <w:ind w:right="211" w:firstLine="480"/>
        <w:rPr>
          <w:lang w:eastAsia="zh-CN"/>
        </w:rPr>
      </w:pPr>
      <w:r>
        <w:rPr>
          <w:lang w:eastAsia="zh-CN"/>
        </w:rPr>
        <w:t>9.2供应商应当对竞争性磋商文件中“货物需求”所列的所有内容进行响应，如仅响应某一包中的部分内容，其响应文件将被认定为无效。</w:t>
      </w:r>
    </w:p>
    <w:p>
      <w:pPr>
        <w:pStyle w:val="2"/>
        <w:spacing w:before="38" w:line="355" w:lineRule="auto"/>
        <w:ind w:right="211" w:firstLine="480"/>
        <w:rPr>
          <w:lang w:eastAsia="zh-CN"/>
        </w:rPr>
      </w:pPr>
      <w:r>
        <w:rPr>
          <w:lang w:eastAsia="zh-CN"/>
        </w:rPr>
        <w:t>9.3无论竞争性磋商文件第4章货物需求一览表及技术规格中是否要求，供应商所报货物均应符合国家强制性标准。</w:t>
      </w:r>
    </w:p>
    <w:p>
      <w:pPr>
        <w:pStyle w:val="2"/>
        <w:spacing w:before="38" w:line="355" w:lineRule="auto"/>
        <w:ind w:right="211" w:firstLine="480"/>
        <w:rPr>
          <w:lang w:eastAsia="zh-CN"/>
        </w:rPr>
      </w:pPr>
      <w:r>
        <w:rPr>
          <w:lang w:eastAsia="zh-CN"/>
        </w:rPr>
        <w:t>9.4除竞争性磋商文件中有特殊要求外，响应文件中所使用的计量单位，应采用中华人民共和国法定计量单位。</w:t>
      </w:r>
    </w:p>
    <w:p>
      <w:pPr>
        <w:pStyle w:val="10"/>
        <w:spacing w:before="38"/>
        <w:ind w:right="211"/>
        <w:rPr>
          <w:b w:val="0"/>
          <w:bCs w:val="0"/>
          <w:lang w:eastAsia="zh-CN"/>
        </w:rPr>
      </w:pPr>
      <w:bookmarkStart w:id="14" w:name="10.响应文件构成"/>
      <w:bookmarkEnd w:id="14"/>
      <w:r>
        <w:rPr>
          <w:lang w:eastAsia="zh-CN"/>
        </w:rPr>
        <w:t>10.响应文件构成</w:t>
      </w:r>
    </w:p>
    <w:p>
      <w:pPr>
        <w:pStyle w:val="2"/>
        <w:spacing w:before="151" w:line="357" w:lineRule="auto"/>
        <w:ind w:right="91" w:firstLine="480"/>
        <w:rPr>
          <w:lang w:eastAsia="zh-CN"/>
        </w:rPr>
      </w:pPr>
      <w:r>
        <w:rPr>
          <w:lang w:eastAsia="zh-CN"/>
        </w:rPr>
        <w:t>10.1供应商应完整地按竞争性磋商文件提供的响应文件格式及要求编写响应文件。竞争性磋商文件中资格审查和符合性审查涉及的事项不满足竞争性磋商文件要求的，其响应文件将被认定为无效。</w:t>
      </w:r>
    </w:p>
    <w:p>
      <w:pPr>
        <w:pStyle w:val="2"/>
        <w:spacing w:before="36" w:line="357" w:lineRule="auto"/>
        <w:ind w:right="211" w:firstLine="480"/>
        <w:rPr>
          <w:lang w:eastAsia="zh-CN"/>
        </w:rPr>
      </w:pPr>
      <w:r>
        <w:rPr>
          <w:lang w:eastAsia="zh-CN"/>
        </w:rPr>
        <w:t>10.2上述文件应按照竞争性磋商文件规定签署和盖公章或经公章授权的其他单位</w:t>
      </w:r>
      <w:r>
        <w:rPr>
          <w:spacing w:val="-8"/>
          <w:lang w:eastAsia="zh-CN"/>
        </w:rPr>
        <w:t>章（以下统称公章）。采用公章授权方式的，应当在响应文件第一部分附公章授权书（格</w:t>
      </w:r>
      <w:r>
        <w:rPr>
          <w:lang w:eastAsia="zh-CN"/>
        </w:rPr>
        <w:t>式自定）。</w:t>
      </w:r>
    </w:p>
    <w:p>
      <w:pPr>
        <w:pStyle w:val="2"/>
        <w:spacing w:before="36" w:line="357" w:lineRule="auto"/>
        <w:ind w:right="211" w:firstLine="480"/>
        <w:rPr>
          <w:lang w:eastAsia="zh-CN"/>
        </w:rPr>
      </w:pPr>
      <w:r>
        <w:rPr>
          <w:lang w:eastAsia="zh-CN"/>
        </w:rPr>
        <w:t>10.3</w:t>
      </w:r>
      <w:r>
        <w:rPr>
          <w:spacing w:val="-4"/>
          <w:lang w:eastAsia="zh-CN"/>
        </w:rPr>
        <w:t>供应商应提交证明文件，证明其提供内容符合响应文件规定。该证明文件是响</w:t>
      </w:r>
      <w:r>
        <w:rPr>
          <w:lang w:eastAsia="zh-CN"/>
        </w:rPr>
        <w:t>应文件的一部分。</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lang w:eastAsia="zh-CN"/>
        </w:rPr>
      </w:pPr>
      <w:r>
        <w:rPr>
          <w:lang w:eastAsia="zh-CN"/>
        </w:rPr>
        <w:t>10.4上款所述的证明文件，可以是文字资料、图纸和数据等。</w:t>
      </w:r>
    </w:p>
    <w:p>
      <w:pPr>
        <w:keepNext w:val="0"/>
        <w:keepLines w:val="0"/>
        <w:pageBreakBefore w:val="0"/>
        <w:widowControl w:val="0"/>
        <w:kinsoku/>
        <w:wordWrap/>
        <w:overflowPunct/>
        <w:topLinePunct w:val="0"/>
        <w:autoSpaceDE/>
        <w:autoSpaceDN/>
        <w:bidi w:val="0"/>
        <w:adjustRightInd/>
        <w:snapToGrid/>
        <w:spacing w:line="360" w:lineRule="auto"/>
        <w:ind w:left="0" w:right="0" w:firstLine="432" w:firstLineChars="200"/>
        <w:jc w:val="both"/>
        <w:textAlignment w:val="auto"/>
        <w:rPr>
          <w:rFonts w:ascii="宋体" w:hAnsi="宋体" w:eastAsia="宋体" w:cs="宋体"/>
          <w:b/>
          <w:bCs/>
          <w:spacing w:val="2"/>
          <w:sz w:val="24"/>
          <w:szCs w:val="24"/>
          <w:lang w:eastAsia="zh-CN"/>
        </w:rPr>
      </w:pPr>
      <w:r>
        <w:rPr>
          <w:b/>
          <w:bCs/>
          <w:spacing w:val="-2"/>
          <w:lang w:eastAsia="zh-CN"/>
        </w:rPr>
        <w:t>10.5</w:t>
      </w:r>
      <w:r>
        <w:rPr>
          <w:rFonts w:ascii="宋体" w:hAnsi="宋体" w:eastAsia="宋体" w:cs="宋体"/>
          <w:b/>
          <w:bCs/>
          <w:spacing w:val="2"/>
          <w:sz w:val="24"/>
          <w:szCs w:val="24"/>
          <w:lang w:eastAsia="zh-CN"/>
        </w:rPr>
        <w:t>（电子标）本项目采用电子投标，须使用用于证明投标人身份的单位电子签名的实名认证证书和用于投标人编制电子投标文件的投标文件制作软件。</w:t>
      </w:r>
    </w:p>
    <w:p>
      <w:pPr>
        <w:keepNext w:val="0"/>
        <w:keepLines w:val="0"/>
        <w:pageBreakBefore w:val="0"/>
        <w:widowControl w:val="0"/>
        <w:kinsoku/>
        <w:wordWrap/>
        <w:overflowPunct/>
        <w:topLinePunct w:val="0"/>
        <w:autoSpaceDE/>
        <w:autoSpaceDN/>
        <w:bidi w:val="0"/>
        <w:adjustRightInd/>
        <w:snapToGrid/>
        <w:spacing w:line="360" w:lineRule="auto"/>
        <w:ind w:left="0" w:right="0" w:firstLine="490" w:firstLineChars="200"/>
        <w:jc w:val="both"/>
        <w:textAlignment w:val="auto"/>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申 请 办 理 实 名 认 证 证 书 的 方 式 详 见 临 沂 市 公 共 资 源 交 易 中 心 网（</w:t>
      </w:r>
      <w:r>
        <w:rPr>
          <w:rFonts w:ascii="宋体" w:hAnsi="宋体" w:eastAsia="宋体" w:cs="宋体"/>
          <w:b/>
          <w:bCs/>
          <w:spacing w:val="2"/>
          <w:sz w:val="24"/>
          <w:szCs w:val="24"/>
          <w:lang w:eastAsia="zh-CN"/>
        </w:rPr>
        <w:fldChar w:fldCharType="begin"/>
      </w:r>
      <w:r>
        <w:rPr>
          <w:rFonts w:ascii="宋体" w:hAnsi="宋体" w:eastAsia="宋体" w:cs="宋体"/>
          <w:b/>
          <w:bCs/>
          <w:spacing w:val="2"/>
          <w:sz w:val="24"/>
          <w:szCs w:val="24"/>
          <w:lang w:eastAsia="zh-CN"/>
        </w:rPr>
        <w:instrText xml:space="preserve"> HYPERLINK "http://ggzyjy.linyi.gov.cn/linyi/" \h </w:instrText>
      </w:r>
      <w:r>
        <w:rPr>
          <w:rFonts w:ascii="宋体" w:hAnsi="宋体" w:eastAsia="宋体" w:cs="宋体"/>
          <w:b/>
          <w:bCs/>
          <w:spacing w:val="2"/>
          <w:sz w:val="24"/>
          <w:szCs w:val="24"/>
          <w:lang w:eastAsia="zh-CN"/>
        </w:rPr>
        <w:fldChar w:fldCharType="separate"/>
      </w:r>
      <w:r>
        <w:rPr>
          <w:rFonts w:ascii="宋体" w:hAnsi="宋体" w:eastAsia="宋体" w:cs="宋体"/>
          <w:b/>
          <w:bCs/>
          <w:spacing w:val="2"/>
          <w:sz w:val="24"/>
          <w:szCs w:val="24"/>
          <w:lang w:eastAsia="zh-CN"/>
        </w:rPr>
        <w:t>http://ggzyjy.linyi.gov.cn/linyi/</w:t>
      </w:r>
      <w:r>
        <w:rPr>
          <w:rFonts w:ascii="宋体" w:hAnsi="宋体" w:eastAsia="宋体" w:cs="宋体"/>
          <w:b/>
          <w:bCs/>
          <w:spacing w:val="2"/>
          <w:sz w:val="24"/>
          <w:szCs w:val="24"/>
          <w:lang w:eastAsia="zh-CN"/>
        </w:rPr>
        <w:fldChar w:fldCharType="end"/>
      </w:r>
      <w:r>
        <w:rPr>
          <w:rFonts w:ascii="宋体" w:hAnsi="宋体" w:eastAsia="宋体" w:cs="宋体"/>
          <w:b/>
          <w:bCs/>
          <w:spacing w:val="2"/>
          <w:sz w:val="24"/>
          <w:szCs w:val="24"/>
          <w:lang w:eastAsia="zh-CN"/>
        </w:rPr>
        <w:t>）“通知公告”栏目。 电子投标基本流程：登录临沂市公共资源交易中心网“电子交易系统”，下载电子投标操作手册及投标文件制作软件，按照操作手册安装投标文件制作软件，使用实名认证证书打开投标文件制作软件，按提示和操作手册导入电子招标文件，编制电子投标文 件，使用实名认证证书对电子投标文件进行签章、加密，生成的电子投标文件（扩展名为.LYTF 文件，不得对已生成的投标文件进行任何修改、压缩、解压等操作），于投标截止时间前自行上传至临沂市公共资源电子交易系统。</w:t>
      </w:r>
    </w:p>
    <w:p>
      <w:pPr>
        <w:spacing w:before="36" w:line="355" w:lineRule="auto"/>
        <w:ind w:left="115" w:right="221" w:firstLine="460"/>
        <w:jc w:val="both"/>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如果在投标截止时间前需要对已经成功生成并上传系统的电子投标文件进行修改、补充的，应当先行撤回原文件，使用投标文件制作软件重新制作并生成完整的电子投标文件，重新上传系统。投标截止时间前未完成上传的，视为撤回投标文件。</w:t>
      </w:r>
    </w:p>
    <w:p>
      <w:pPr>
        <w:spacing w:before="36" w:line="355" w:lineRule="auto"/>
        <w:ind w:left="115" w:right="221" w:firstLine="460"/>
        <w:jc w:val="both"/>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投标截止时间前未完成上传的，将被临沂市公共资源电子交易系统拒收。若投标人实名认证证书即将到期或已过期，请确保在开标时实名认证证书在有效期内，投标人实名认证证书在续期后务必在开标前重新制作和上传电子投标文件，否则将造成电子投标文件无法进行解密。</w:t>
      </w:r>
    </w:p>
    <w:p>
      <w:pPr>
        <w:spacing w:before="38" w:line="357" w:lineRule="auto"/>
        <w:ind w:left="115" w:right="220"/>
        <w:jc w:val="both"/>
        <w:rPr>
          <w:rFonts w:ascii="宋体" w:hAnsi="宋体" w:eastAsia="宋体" w:cs="宋体"/>
          <w:b/>
          <w:bCs/>
          <w:sz w:val="24"/>
          <w:szCs w:val="24"/>
          <w:lang w:eastAsia="zh-CN"/>
        </w:rPr>
      </w:pPr>
      <w:r>
        <w:rPr>
          <w:rFonts w:ascii="宋体" w:hAnsi="宋体" w:eastAsia="宋体" w:cs="宋体"/>
          <w:b/>
          <w:bCs/>
          <w:sz w:val="24"/>
          <w:szCs w:val="24"/>
          <w:lang w:eastAsia="zh-CN"/>
        </w:rPr>
        <w:t>10.5.1</w:t>
      </w:r>
      <w:r>
        <w:rPr>
          <w:rFonts w:ascii="宋体" w:hAnsi="宋体" w:eastAsia="宋体" w:cs="宋体"/>
          <w:b/>
          <w:bCs/>
          <w:spacing w:val="3"/>
          <w:sz w:val="24"/>
          <w:szCs w:val="24"/>
          <w:lang w:eastAsia="zh-CN"/>
        </w:rPr>
        <w:t>本项目不需提供纸质投标文件，供应商应在临沂市公共资源交易系统内制作电</w:t>
      </w:r>
      <w:r>
        <w:rPr>
          <w:rFonts w:ascii="宋体" w:hAnsi="宋体" w:eastAsia="宋体" w:cs="宋体"/>
          <w:b/>
          <w:bCs/>
          <w:spacing w:val="-1"/>
          <w:w w:val="95"/>
          <w:sz w:val="24"/>
          <w:szCs w:val="24"/>
          <w:lang w:eastAsia="zh-CN"/>
        </w:rPr>
        <w:t>子版投标文件，详细内容请见电子化招标投标通知。投标人手册请到临沂市公共资源交</w:t>
      </w:r>
      <w:r>
        <w:rPr>
          <w:rFonts w:ascii="宋体" w:hAnsi="宋体" w:eastAsia="宋体" w:cs="宋体"/>
          <w:b/>
          <w:bCs/>
          <w:sz w:val="24"/>
          <w:szCs w:val="24"/>
          <w:lang w:eastAsia="zh-CN"/>
        </w:rPr>
        <w:t>易网下载。</w:t>
      </w:r>
    </w:p>
    <w:p>
      <w:pPr>
        <w:keepNext w:val="0"/>
        <w:keepLines w:val="0"/>
        <w:pageBreakBefore w:val="0"/>
        <w:widowControl w:val="0"/>
        <w:kinsoku/>
        <w:wordWrap/>
        <w:overflowPunct/>
        <w:topLinePunct w:val="0"/>
        <w:autoSpaceDE/>
        <w:autoSpaceDN/>
        <w:bidi w:val="0"/>
        <w:adjustRightInd/>
        <w:snapToGrid/>
        <w:spacing w:line="360" w:lineRule="auto"/>
        <w:ind w:left="113" w:right="0" w:firstLine="490" w:firstLineChars="200"/>
        <w:jc w:val="both"/>
        <w:textAlignment w:val="auto"/>
        <w:rPr>
          <w:rFonts w:ascii="宋体" w:hAnsi="宋体" w:eastAsia="宋体" w:cs="宋体"/>
          <w:b/>
          <w:bCs/>
          <w:sz w:val="24"/>
          <w:szCs w:val="24"/>
          <w:lang w:eastAsia="zh-CN"/>
        </w:rPr>
      </w:pPr>
      <w:r>
        <w:rPr>
          <w:rFonts w:ascii="宋体" w:hAnsi="宋体" w:eastAsia="宋体" w:cs="宋体"/>
          <w:b/>
          <w:bCs/>
          <w:spacing w:val="2"/>
          <w:sz w:val="24"/>
          <w:szCs w:val="24"/>
          <w:lang w:eastAsia="zh-CN"/>
        </w:rPr>
        <w:t>具体要求请各潜在供应商自行登录“临沂市公共资源交易中心”网站查看相关通</w:t>
      </w:r>
      <w:r>
        <w:rPr>
          <w:rFonts w:ascii="宋体" w:hAnsi="宋体" w:eastAsia="宋体" w:cs="宋体"/>
          <w:b/>
          <w:bCs/>
          <w:spacing w:val="-4"/>
          <w:sz w:val="24"/>
          <w:szCs w:val="24"/>
          <w:lang w:eastAsia="zh-CN"/>
        </w:rPr>
        <w:t xml:space="preserve">知。本项目实行计算机辅助评标，电子投标文件制作工具下载 </w:t>
      </w:r>
      <w:r>
        <w:rPr>
          <w:rFonts w:ascii="宋体" w:hAnsi="宋体" w:eastAsia="宋体" w:cs="宋体"/>
          <w:b/>
          <w:bCs/>
          <w:spacing w:val="-6"/>
          <w:sz w:val="24"/>
          <w:szCs w:val="24"/>
          <w:lang w:eastAsia="zh-CN"/>
        </w:rPr>
        <w:t>：投标文件制作工具(</w:t>
      </w:r>
      <w:r>
        <w:rPr>
          <w:rFonts w:ascii="宋体" w:hAnsi="宋体" w:eastAsia="宋体" w:cs="宋体"/>
          <w:b/>
          <w:bCs/>
          <w:sz w:val="24"/>
          <w:szCs w:val="24"/>
          <w:lang w:eastAsia="zh-CN"/>
        </w:rPr>
        <w:t>临沂版)，使用 CA锁进行电子投标文件制作加解密。</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jc w:val="both"/>
        <w:textAlignment w:val="auto"/>
        <w:rPr>
          <w:rFonts w:ascii="宋体" w:hAnsi="宋体" w:eastAsia="宋体" w:cs="宋体"/>
          <w:b/>
          <w:bCs/>
          <w:sz w:val="24"/>
          <w:szCs w:val="24"/>
          <w:lang w:eastAsia="zh-CN"/>
        </w:rPr>
      </w:pPr>
      <w:r>
        <w:rPr>
          <w:rFonts w:ascii="宋体" w:hAnsi="宋体" w:eastAsia="宋体" w:cs="宋体"/>
          <w:b/>
          <w:bCs/>
          <w:sz w:val="24"/>
          <w:szCs w:val="24"/>
          <w:lang w:eastAsia="zh-CN"/>
        </w:rPr>
        <w:t>投标人需要登陆临沂市公共资源交易网 -- 企业用户登录 --</w:t>
      </w:r>
      <w:r>
        <w:rPr>
          <w:rFonts w:ascii="宋体" w:hAnsi="宋体" w:eastAsia="宋体" w:cs="宋体"/>
          <w:b/>
          <w:bCs/>
          <w:spacing w:val="-6"/>
          <w:sz w:val="24"/>
          <w:szCs w:val="24"/>
          <w:lang w:eastAsia="zh-CN"/>
        </w:rPr>
        <w:t>政府采购项目，使用</w:t>
      </w:r>
      <w:r>
        <w:rPr>
          <w:rFonts w:ascii="宋体" w:hAnsi="宋体" w:eastAsia="宋体" w:cs="宋体"/>
          <w:b/>
          <w:bCs/>
          <w:sz w:val="24"/>
          <w:szCs w:val="24"/>
          <w:lang w:eastAsia="zh-CN"/>
        </w:rPr>
        <w:t>CA</w:t>
      </w:r>
      <w:r>
        <w:rPr>
          <w:rFonts w:ascii="宋体" w:hAnsi="宋体" w:eastAsia="宋体" w:cs="宋体"/>
          <w:b/>
          <w:bCs/>
          <w:spacing w:val="3"/>
          <w:sz w:val="24"/>
          <w:szCs w:val="24"/>
          <w:lang w:eastAsia="zh-CN"/>
        </w:rPr>
        <w:t>锁从网上下载采购文件</w:t>
      </w:r>
      <w:r>
        <w:rPr>
          <w:rFonts w:ascii="宋体" w:hAnsi="宋体" w:eastAsia="宋体" w:cs="宋体"/>
          <w:b/>
          <w:bCs/>
          <w:sz w:val="24"/>
          <w:szCs w:val="24"/>
          <w:lang w:eastAsia="zh-CN"/>
        </w:rPr>
        <w:t>，使用电子投标文件制作专用软件制作电子投标文件，并使用 CA锁进行电子投标文件制作加解密、电子签章等，并于投标截止时间之前将加密版</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 LYTF 格式）电子文件上传至电子招投标交易平台。在电子开评标系统使用过程中，供应商提供的CA锁出现解密失败或无法解密的情况，其后果自负。</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供应商手册请到临沂市公共资源交易网自行下载。</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系统使用技术问题请拨打电话：0539-8770063</w:t>
      </w:r>
      <w:r>
        <w:rPr>
          <w:rFonts w:ascii="宋体" w:hAnsi="宋体" w:eastAsia="宋体" w:cs="宋体"/>
          <w:b/>
          <w:bCs/>
          <w:sz w:val="24"/>
          <w:szCs w:val="24"/>
          <w:lang w:eastAsia="zh-CN"/>
        </w:rPr>
        <w:tab/>
      </w:r>
      <w:r>
        <w:rPr>
          <w:rFonts w:ascii="宋体" w:hAnsi="宋体" w:eastAsia="宋体" w:cs="宋体"/>
          <w:b/>
          <w:bCs/>
          <w:sz w:val="24"/>
          <w:szCs w:val="24"/>
          <w:lang w:eastAsia="zh-CN"/>
        </w:rPr>
        <w:t>0539-8770139</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若投标人实名认证证书即将到期或已过期，请确保在开标时实名认证证书在有效期内，投标人实名认证证书在续期后务必在开标前重新制作和上传电子投标文件，否则将造成电子投标文件无法进行解密。</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因投标人以下原因，投标将被拒绝：</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1)投标截止时间前，投标人未成功上传投标文件的；</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2)对已生成的电子投标文件进行破解、修改、压缩等不当操作，或自备的解密电脑环境配置不当等原因导致无法解密的；</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3)开标时，实名认证证书过期失效、密码丢失，或者投标人实名认证证书在续期后未在开标前重新制作和上传电子投标文件，导致无法解密的。</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4)投标截止时间后，投标人在规定时长内未能成功解密的。</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10.5.2本项目实行“不见面”开标，各投标人不需到开标现场递交磋商文件。投标人需在开标前（建议至少提前半小时）登录临沂市公共资源交易中心网站--电子交易系统--不见面开标系统（</w:t>
      </w:r>
      <w:r>
        <w:rPr>
          <w:rFonts w:ascii="宋体" w:hAnsi="宋体" w:eastAsia="宋体" w:cs="宋体"/>
          <w:b/>
          <w:bCs/>
          <w:sz w:val="24"/>
          <w:szCs w:val="24"/>
          <w:lang w:eastAsia="zh-CN"/>
        </w:rPr>
        <w:fldChar w:fldCharType="begin"/>
      </w:r>
      <w:r>
        <w:rPr>
          <w:rFonts w:ascii="宋体" w:hAnsi="宋体" w:eastAsia="宋体" w:cs="宋体"/>
          <w:b/>
          <w:bCs/>
          <w:sz w:val="24"/>
          <w:szCs w:val="24"/>
          <w:lang w:eastAsia="zh-CN"/>
        </w:rPr>
        <w:instrText xml:space="preserve"> HYPERLINK "http://ggzyjy.linyi.gov.cn/BidOpening/bidopeninghallaction/hall/login" \h </w:instrText>
      </w:r>
      <w:r>
        <w:rPr>
          <w:rFonts w:ascii="宋体" w:hAnsi="宋体" w:eastAsia="宋体" w:cs="宋体"/>
          <w:b/>
          <w:bCs/>
          <w:sz w:val="24"/>
          <w:szCs w:val="24"/>
          <w:lang w:eastAsia="zh-CN"/>
        </w:rPr>
        <w:fldChar w:fldCharType="separate"/>
      </w:r>
      <w:r>
        <w:rPr>
          <w:rFonts w:ascii="宋体" w:hAnsi="宋体" w:eastAsia="宋体" w:cs="宋体"/>
          <w:b/>
          <w:bCs/>
          <w:sz w:val="24"/>
          <w:szCs w:val="24"/>
          <w:lang w:eastAsia="zh-CN"/>
        </w:rPr>
        <w:t>http://ggzyjy.linyi.gov.cn/BidOpening/bidopeninghallaction/hall/login</w:t>
      </w:r>
      <w:r>
        <w:rPr>
          <w:rFonts w:ascii="宋体" w:hAnsi="宋体" w:eastAsia="宋体" w:cs="宋体"/>
          <w:b/>
          <w:bCs/>
          <w:sz w:val="24"/>
          <w:szCs w:val="24"/>
          <w:lang w:eastAsia="zh-CN"/>
        </w:rPr>
        <w:fldChar w:fldCharType="end"/>
      </w:r>
      <w:r>
        <w:rPr>
          <w:rFonts w:ascii="宋体" w:hAnsi="宋体" w:eastAsia="宋体" w:cs="宋体"/>
          <w:b/>
          <w:bCs/>
          <w:sz w:val="24"/>
          <w:szCs w:val="24"/>
          <w:lang w:eastAsia="zh-CN"/>
        </w:rPr>
        <w:t>）-进行签到以及对投标文件进行解密，具体操作流程详见临沂市公共资源交易中心网站,“办事指南”中“临沂市不见面开标及远程评标操作手册"下载“不见面开标投标人操作手册”并按照其要求，在开标时做好相关准备工作。因操作人不按操作规程、不熟悉开标系统由此造成开标不成功的后果由投标人自行承担。</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投标人基本操作流程如下：登录开标大厅（选择投标人身份）--进入本项目--点击我已阅读--投标人签到（输入信息显示签到成功--点击确定）--开标时间截止后进行投标文件解密（解密时长为投标截止时间后半小时以内，务必在规定的时间内解密）--</w:t>
      </w:r>
      <w:r>
        <w:rPr>
          <w:rFonts w:hint="eastAsia" w:ascii="宋体" w:hAnsi="宋体" w:eastAsia="宋体" w:cs="宋体"/>
          <w:b/>
          <w:bCs/>
          <w:sz w:val="24"/>
          <w:szCs w:val="24"/>
          <w:lang w:eastAsia="zh-CN"/>
        </w:rPr>
        <w:t xml:space="preserve"> 在资格审查和符合性审查结束后，磋商小组在网上不见面开标系统中向通过资格审查和符合性审查的供应商发起二次（多次）报价指令</w:t>
      </w:r>
      <w:r>
        <w:rPr>
          <w:rFonts w:ascii="宋体" w:hAnsi="宋体" w:eastAsia="宋体" w:cs="宋体"/>
          <w:b/>
          <w:bCs/>
          <w:sz w:val="24"/>
          <w:szCs w:val="24"/>
          <w:lang w:eastAsia="zh-CN"/>
        </w:rPr>
        <w:t>，报价时间总时长约30分钟（具体时间根据系统要求），各类供应商需在规定时间内在临沂市公共资源交易系统进行网上在线报价[供应商登录临沂市公共资源交易系统，点击企业用户选择供应商，进入在线报价菜单对应项目进行二次报价（即最后报价）。进入项目后选择新增报价：在报价截止之前录入二次报价（最后报价）提交]。</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注意事项：</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（1）投标人必须在开标前（建议至少提前半小时）登录网上不见面开标系统进行电子签到。</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（2）开标时，投标人可在系统内观看开标过程。</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（3）各投标人须于投标截止时间之前将加密版电子投标文件上传至电子招投标交</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易平台，过时视为投标文件未送达。</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（4）未在规定时间内解密的，其投标文件将被退回，视为无效标。（因电子开标系统本身原因等不可抗力原因除外）。</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（5）投标人可自行查看唱标信息。</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6）投标人务必按照网上不见面开标操作手册的要求设置参与网上不见面开标的电脑环境，若因投标人自己的原因，如电脑环境未按要求设置导致签到失败、解密失败或无法解密等，视为该投标人自动放弃投标，后果由投标人自行承担。</w:t>
      </w:r>
    </w:p>
    <w:p>
      <w:pPr>
        <w:keepNext w:val="0"/>
        <w:keepLines w:val="0"/>
        <w:pageBreakBefore w:val="0"/>
        <w:widowControl w:val="0"/>
        <w:kinsoku/>
        <w:wordWrap/>
        <w:overflowPunct/>
        <w:topLinePunct w:val="0"/>
        <w:autoSpaceDE/>
        <w:autoSpaceDN/>
        <w:bidi w:val="0"/>
        <w:adjustRightInd/>
        <w:snapToGrid/>
        <w:spacing w:line="360" w:lineRule="auto"/>
        <w:ind w:left="113" w:right="0" w:firstLine="482" w:firstLineChars="200"/>
        <w:textAlignment w:val="auto"/>
        <w:rPr>
          <w:rFonts w:ascii="宋体" w:hAnsi="宋体" w:eastAsia="宋体" w:cs="宋体"/>
          <w:b/>
          <w:bCs/>
          <w:sz w:val="24"/>
          <w:szCs w:val="24"/>
          <w:lang w:eastAsia="zh-CN"/>
        </w:rPr>
      </w:pPr>
      <w:r>
        <w:rPr>
          <w:rFonts w:ascii="宋体" w:hAnsi="宋体" w:eastAsia="宋体" w:cs="宋体"/>
          <w:b/>
          <w:bCs/>
          <w:sz w:val="24"/>
          <w:szCs w:val="24"/>
          <w:lang w:eastAsia="zh-CN"/>
        </w:rPr>
        <w:t>（7）因供应商自身原因，未按时参加最后报价环节的，视为供应商放弃本项目最后报价的机会，该行为带来的一切后果由供应商自行承担。</w:t>
      </w:r>
    </w:p>
    <w:p>
      <w:pPr>
        <w:spacing w:before="151" w:line="357" w:lineRule="auto"/>
        <w:ind w:left="115" w:right="91" w:firstLine="480"/>
        <w:rPr>
          <w:rFonts w:ascii="宋体" w:hAnsi="宋体" w:eastAsia="宋体" w:cs="宋体"/>
          <w:sz w:val="24"/>
          <w:szCs w:val="24"/>
          <w:lang w:eastAsia="zh-CN"/>
        </w:rPr>
      </w:pPr>
      <w:r>
        <w:rPr>
          <w:rFonts w:ascii="宋体" w:hAnsi="宋体" w:eastAsia="宋体" w:cs="宋体"/>
          <w:sz w:val="24"/>
          <w:szCs w:val="24"/>
          <w:lang w:eastAsia="zh-CN"/>
        </w:rPr>
        <w:t>10.6</w:t>
      </w:r>
      <w:r>
        <w:rPr>
          <w:rFonts w:ascii="宋体" w:hAnsi="宋体" w:eastAsia="宋体" w:cs="宋体"/>
          <w:spacing w:val="4"/>
          <w:sz w:val="24"/>
          <w:szCs w:val="24"/>
          <w:lang w:eastAsia="zh-CN"/>
        </w:rPr>
        <w:t>供应商提交的响应文件应包含以下各个部分，具体组成内容见第</w:t>
      </w:r>
      <w:r>
        <w:rPr>
          <w:rFonts w:ascii="宋体" w:hAnsi="宋体" w:eastAsia="宋体" w:cs="宋体"/>
          <w:sz w:val="24"/>
          <w:szCs w:val="24"/>
          <w:lang w:eastAsia="zh-CN"/>
        </w:rPr>
        <w:t>6</w:t>
      </w:r>
      <w:r>
        <w:rPr>
          <w:rFonts w:ascii="宋体" w:hAnsi="宋体" w:eastAsia="宋体" w:cs="宋体"/>
          <w:spacing w:val="3"/>
          <w:sz w:val="24"/>
          <w:szCs w:val="24"/>
          <w:lang w:eastAsia="zh-CN"/>
        </w:rPr>
        <w:t>章响应文</w:t>
      </w:r>
      <w:r>
        <w:rPr>
          <w:rFonts w:ascii="宋体" w:hAnsi="宋体" w:eastAsia="宋体" w:cs="宋体"/>
          <w:sz w:val="24"/>
          <w:szCs w:val="24"/>
          <w:lang w:eastAsia="zh-CN"/>
        </w:rPr>
        <w:t>件格式。</w:t>
      </w:r>
    </w:p>
    <w:p>
      <w:pPr>
        <w:spacing w:before="36"/>
        <w:ind w:left="595" w:right="211"/>
        <w:rPr>
          <w:rFonts w:ascii="宋体" w:hAnsi="宋体" w:eastAsia="宋体" w:cs="宋体"/>
          <w:sz w:val="24"/>
          <w:szCs w:val="24"/>
          <w:lang w:eastAsia="zh-CN"/>
        </w:rPr>
      </w:pPr>
      <w:r>
        <w:rPr>
          <w:rFonts w:ascii="宋体" w:hAnsi="宋体" w:eastAsia="宋体" w:cs="宋体"/>
          <w:sz w:val="24"/>
          <w:szCs w:val="24"/>
          <w:lang w:eastAsia="zh-CN"/>
        </w:rPr>
        <w:t>10.6.1商务部分</w:t>
      </w:r>
    </w:p>
    <w:p>
      <w:pPr>
        <w:spacing w:before="151"/>
        <w:ind w:left="595" w:right="211"/>
        <w:rPr>
          <w:rFonts w:ascii="宋体" w:hAnsi="宋体" w:eastAsia="宋体" w:cs="宋体"/>
          <w:sz w:val="24"/>
          <w:szCs w:val="24"/>
          <w:lang w:eastAsia="zh-CN"/>
        </w:rPr>
      </w:pPr>
      <w:r>
        <w:rPr>
          <w:rFonts w:ascii="宋体" w:hAnsi="宋体" w:eastAsia="宋体" w:cs="宋体"/>
          <w:sz w:val="24"/>
          <w:szCs w:val="24"/>
          <w:lang w:eastAsia="zh-CN"/>
        </w:rPr>
        <w:t>10.6.2资信部分</w:t>
      </w:r>
    </w:p>
    <w:p>
      <w:pPr>
        <w:spacing w:before="154" w:line="355" w:lineRule="auto"/>
        <w:ind w:left="115" w:right="91" w:firstLine="480"/>
        <w:rPr>
          <w:rFonts w:ascii="宋体" w:hAnsi="宋体" w:eastAsia="宋体" w:cs="宋体"/>
          <w:sz w:val="24"/>
          <w:szCs w:val="24"/>
          <w:lang w:eastAsia="zh-CN"/>
        </w:rPr>
      </w:pPr>
      <w:r>
        <w:rPr>
          <w:rFonts w:ascii="宋体" w:hAnsi="宋体" w:eastAsia="宋体" w:cs="宋体"/>
          <w:sz w:val="24"/>
          <w:szCs w:val="24"/>
          <w:lang w:eastAsia="zh-CN"/>
        </w:rPr>
        <w:t>10.6.2.1</w:t>
      </w:r>
      <w:r>
        <w:rPr>
          <w:rFonts w:ascii="宋体" w:hAnsi="宋体" w:eastAsia="宋体" w:cs="宋体"/>
          <w:spacing w:val="4"/>
          <w:sz w:val="24"/>
          <w:szCs w:val="24"/>
          <w:lang w:eastAsia="zh-CN"/>
        </w:rPr>
        <w:t>供应商须对提交的资格证明真实性、有效性、完整性负责，并保证无不</w:t>
      </w:r>
      <w:r>
        <w:rPr>
          <w:rFonts w:ascii="宋体" w:hAnsi="宋体" w:eastAsia="宋体" w:cs="宋体"/>
          <w:sz w:val="24"/>
          <w:szCs w:val="24"/>
          <w:lang w:eastAsia="zh-CN"/>
        </w:rPr>
        <w:t>诚信记录。</w:t>
      </w:r>
    </w:p>
    <w:p>
      <w:pPr>
        <w:spacing w:before="38"/>
        <w:ind w:left="595" w:right="211"/>
        <w:rPr>
          <w:rFonts w:ascii="宋体" w:hAnsi="宋体" w:eastAsia="宋体" w:cs="宋体"/>
          <w:sz w:val="24"/>
          <w:szCs w:val="24"/>
          <w:lang w:eastAsia="zh-CN"/>
        </w:rPr>
      </w:pPr>
      <w:r>
        <w:rPr>
          <w:rFonts w:ascii="宋体" w:hAnsi="宋体" w:eastAsia="宋体" w:cs="宋体"/>
          <w:sz w:val="24"/>
          <w:szCs w:val="24"/>
          <w:lang w:eastAsia="zh-CN"/>
        </w:rPr>
        <w:t>10.6.2.2资格证明的字迹、印章必须完整、清晰，否则其响应文件将会被拒绝。</w:t>
      </w:r>
    </w:p>
    <w:p>
      <w:pPr>
        <w:pStyle w:val="2"/>
        <w:spacing w:before="151" w:line="357" w:lineRule="auto"/>
        <w:ind w:right="194" w:firstLine="480"/>
        <w:jc w:val="both"/>
        <w:rPr>
          <w:lang w:eastAsia="zh-CN"/>
        </w:rPr>
      </w:pPr>
      <w:r>
        <w:rPr>
          <w:rFonts w:cs="宋体"/>
          <w:lang w:eastAsia="zh-CN"/>
        </w:rPr>
        <w:t>10.6.2.3</w:t>
      </w:r>
      <w:r>
        <w:rPr>
          <w:rFonts w:cs="宋体"/>
          <w:spacing w:val="3"/>
          <w:lang w:eastAsia="zh-CN"/>
        </w:rPr>
        <w:t>资格证明材料包括以下内容：</w:t>
      </w:r>
      <w:r>
        <w:rPr>
          <w:spacing w:val="3"/>
          <w:lang w:eastAsia="zh-CN"/>
        </w:rPr>
        <w:t>营业执照、投标人提供证明具有良好的商</w:t>
      </w:r>
      <w:r>
        <w:rPr>
          <w:spacing w:val="-2"/>
          <w:lang w:eastAsia="zh-CN"/>
        </w:rPr>
        <w:t>业信誉和健全的财务会计制度（如近期财务状况报告或银行出具的说明投标人商业信誉</w:t>
      </w:r>
      <w:r>
        <w:rPr>
          <w:lang w:eastAsia="zh-CN"/>
        </w:rPr>
        <w:t>或结算情况等事项的证明文件）、提供投标人的最近</w:t>
      </w:r>
      <w:r>
        <w:rPr>
          <w:u w:val="single" w:color="000000"/>
          <w:lang w:eastAsia="zh-CN"/>
        </w:rPr>
        <w:t>3</w:t>
      </w:r>
      <w:r>
        <w:rPr>
          <w:lang w:eastAsia="zh-CN"/>
        </w:rPr>
        <w:t>个月的社保缴纳记录。在法规范 围内不需提供的，应做书面说明和证明文件。</w:t>
      </w:r>
    </w:p>
    <w:p>
      <w:pPr>
        <w:pStyle w:val="10"/>
        <w:ind w:right="211"/>
        <w:rPr>
          <w:b w:val="0"/>
          <w:bCs w:val="0"/>
          <w:lang w:eastAsia="zh-CN"/>
        </w:rPr>
      </w:pPr>
      <w:r>
        <w:rPr>
          <w:b w:val="0"/>
          <w:bCs w:val="0"/>
          <w:lang w:eastAsia="zh-CN"/>
        </w:rPr>
        <w:t>10.6.3技术部分</w:t>
      </w:r>
    </w:p>
    <w:p>
      <w:pPr>
        <w:spacing w:before="154"/>
        <w:ind w:left="595" w:right="211"/>
        <w:rPr>
          <w:rFonts w:ascii="宋体" w:hAnsi="宋体" w:eastAsia="宋体" w:cs="宋体"/>
          <w:sz w:val="24"/>
          <w:szCs w:val="24"/>
          <w:lang w:eastAsia="zh-CN"/>
        </w:rPr>
      </w:pPr>
      <w:r>
        <w:rPr>
          <w:rFonts w:ascii="宋体" w:hAnsi="宋体" w:eastAsia="宋体" w:cs="宋体"/>
          <w:sz w:val="24"/>
          <w:szCs w:val="24"/>
          <w:lang w:eastAsia="zh-CN"/>
        </w:rPr>
        <w:t>10.6.3.1证明货物的合格性和符合磋商文件规定的技术资料。</w:t>
      </w:r>
    </w:p>
    <w:p>
      <w:pPr>
        <w:spacing w:before="154" w:line="355" w:lineRule="auto"/>
        <w:ind w:left="115" w:right="91" w:firstLine="480"/>
        <w:rPr>
          <w:rFonts w:ascii="宋体" w:hAnsi="宋体" w:eastAsia="宋体" w:cs="宋体"/>
          <w:sz w:val="24"/>
          <w:szCs w:val="24"/>
          <w:lang w:eastAsia="zh-CN"/>
        </w:rPr>
      </w:pPr>
      <w:r>
        <w:rPr>
          <w:rFonts w:ascii="宋体" w:hAnsi="宋体" w:eastAsia="宋体" w:cs="宋体"/>
          <w:sz w:val="24"/>
          <w:szCs w:val="24"/>
          <w:lang w:eastAsia="zh-CN"/>
        </w:rPr>
        <w:t>10.6.3.2</w:t>
      </w:r>
      <w:r>
        <w:rPr>
          <w:rFonts w:ascii="宋体" w:hAnsi="宋体" w:eastAsia="宋体" w:cs="宋体"/>
          <w:spacing w:val="4"/>
          <w:sz w:val="24"/>
          <w:szCs w:val="24"/>
          <w:lang w:eastAsia="zh-CN"/>
        </w:rPr>
        <w:t>货物主要技术指标和性能的详细说明，并保证所供货物必须是全新的、</w:t>
      </w:r>
      <w:r>
        <w:rPr>
          <w:rFonts w:ascii="宋体" w:hAnsi="宋体" w:eastAsia="宋体" w:cs="宋体"/>
          <w:sz w:val="24"/>
          <w:szCs w:val="24"/>
          <w:lang w:eastAsia="zh-CN"/>
        </w:rPr>
        <w:t>未使用过的。</w:t>
      </w:r>
    </w:p>
    <w:p>
      <w:pPr>
        <w:spacing w:before="36"/>
        <w:ind w:left="595" w:right="91"/>
        <w:rPr>
          <w:rFonts w:ascii="宋体" w:hAnsi="宋体" w:eastAsia="宋体" w:cs="宋体"/>
          <w:sz w:val="24"/>
          <w:szCs w:val="24"/>
          <w:lang w:eastAsia="zh-CN"/>
        </w:rPr>
      </w:pPr>
      <w:r>
        <w:rPr>
          <w:rFonts w:ascii="宋体" w:hAnsi="宋体" w:eastAsia="宋体" w:cs="宋体"/>
          <w:sz w:val="24"/>
          <w:szCs w:val="24"/>
          <w:lang w:eastAsia="zh-CN"/>
        </w:rPr>
        <w:t>10.6.3.3</w:t>
      </w:r>
      <w:r>
        <w:rPr>
          <w:rFonts w:ascii="宋体" w:hAnsi="宋体" w:eastAsia="宋体" w:cs="宋体"/>
          <w:spacing w:val="4"/>
          <w:sz w:val="24"/>
          <w:szCs w:val="24"/>
          <w:lang w:eastAsia="zh-CN"/>
        </w:rPr>
        <w:t>供应商应提交证明其拟提供货物的合格性符合磋商文件规定的有效技术</w:t>
      </w:r>
    </w:p>
    <w:p>
      <w:pPr>
        <w:spacing w:before="154" w:line="357" w:lineRule="auto"/>
        <w:ind w:left="115" w:right="180"/>
        <w:jc w:val="both"/>
        <w:rPr>
          <w:rFonts w:ascii="宋体" w:hAnsi="宋体" w:eastAsia="宋体" w:cs="宋体"/>
          <w:sz w:val="24"/>
          <w:szCs w:val="24"/>
          <w:lang w:eastAsia="zh-CN"/>
        </w:rPr>
      </w:pPr>
      <w:r>
        <w:rPr>
          <w:rFonts w:ascii="宋体" w:hAnsi="宋体" w:eastAsia="宋体" w:cs="宋体"/>
          <w:spacing w:val="4"/>
          <w:sz w:val="24"/>
          <w:szCs w:val="24"/>
          <w:lang w:eastAsia="zh-CN"/>
        </w:rPr>
        <w:t>（印刷体）支持资料，并作为响应文件的一部分。技术支持资料以制造商公开发布的印刷资料或检测机构出具的检测报告为准。若制造商公开发布的印刷资料与检测机构出具的</w:t>
      </w:r>
      <w:r>
        <w:rPr>
          <w:rFonts w:ascii="宋体" w:hAnsi="宋体" w:eastAsia="宋体" w:cs="宋体"/>
          <w:sz w:val="24"/>
          <w:szCs w:val="24"/>
          <w:lang w:eastAsia="zh-CN"/>
        </w:rPr>
        <w:t>检测报告不一致，以检测机构出具的检测报告为准。</w:t>
      </w:r>
    </w:p>
    <w:p>
      <w:pPr>
        <w:spacing w:before="36" w:line="357" w:lineRule="auto"/>
        <w:ind w:left="115" w:right="91" w:firstLine="480"/>
        <w:rPr>
          <w:rFonts w:ascii="宋体" w:hAnsi="宋体" w:eastAsia="宋体" w:cs="宋体"/>
          <w:sz w:val="24"/>
          <w:szCs w:val="24"/>
          <w:lang w:eastAsia="zh-CN"/>
        </w:rPr>
      </w:pPr>
      <w:r>
        <w:rPr>
          <w:rFonts w:ascii="宋体" w:hAnsi="宋体" w:eastAsia="宋体" w:cs="宋体"/>
          <w:sz w:val="24"/>
          <w:szCs w:val="24"/>
          <w:lang w:eastAsia="zh-CN"/>
        </w:rPr>
        <w:t>10.6.3.4</w:t>
      </w:r>
      <w:r>
        <w:rPr>
          <w:rFonts w:ascii="宋体" w:hAnsi="宋体" w:eastAsia="宋体" w:cs="宋体"/>
          <w:spacing w:val="4"/>
          <w:sz w:val="24"/>
          <w:szCs w:val="24"/>
          <w:lang w:eastAsia="zh-CN"/>
        </w:rPr>
        <w:t>如制造商公开发布的印刷资料或检测机构出具的检测报告不能完全证明</w:t>
      </w:r>
      <w:r>
        <w:rPr>
          <w:rFonts w:ascii="宋体" w:hAnsi="宋体" w:eastAsia="宋体" w:cs="宋体"/>
          <w:sz w:val="24"/>
          <w:szCs w:val="24"/>
          <w:lang w:eastAsia="zh-CN"/>
        </w:rPr>
        <w:t>其所投货物满足磋商文件要求的，或无法提供印刷资料或检测机构出具的检测报告的，供应商可提供以下资料：</w:t>
      </w:r>
    </w:p>
    <w:p>
      <w:pPr>
        <w:spacing w:before="2"/>
        <w:ind w:left="595" w:right="91"/>
        <w:rPr>
          <w:rFonts w:ascii="宋体" w:hAnsi="宋体" w:eastAsia="宋体" w:cs="宋体"/>
          <w:sz w:val="24"/>
          <w:szCs w:val="24"/>
          <w:lang w:eastAsia="zh-CN"/>
        </w:rPr>
      </w:pPr>
      <w:r>
        <w:rPr>
          <w:rFonts w:ascii="宋体" w:hAnsi="宋体" w:eastAsia="宋体" w:cs="宋体"/>
          <w:sz w:val="24"/>
          <w:szCs w:val="24"/>
          <w:lang w:eastAsia="zh-CN"/>
        </w:rPr>
        <w:t>（1）制造商官方网站下载的技术证明材料，并注明网址备查；</w:t>
      </w:r>
    </w:p>
    <w:p>
      <w:pPr>
        <w:spacing w:before="154" w:line="355" w:lineRule="auto"/>
        <w:ind w:left="115" w:right="125" w:firstLine="480"/>
        <w:jc w:val="both"/>
        <w:rPr>
          <w:rFonts w:ascii="宋体" w:hAnsi="宋体" w:eastAsia="宋体" w:cs="宋体"/>
          <w:sz w:val="24"/>
          <w:szCs w:val="24"/>
          <w:lang w:eastAsia="zh-CN"/>
        </w:rPr>
      </w:pPr>
      <w:r>
        <w:rPr>
          <w:rFonts w:ascii="宋体" w:hAnsi="宋体" w:eastAsia="宋体" w:cs="宋体"/>
          <w:spacing w:val="2"/>
          <w:w w:val="95"/>
          <w:sz w:val="24"/>
          <w:szCs w:val="24"/>
          <w:lang w:eastAsia="zh-CN"/>
        </w:rPr>
        <w:t>（2）</w:t>
      </w:r>
      <w:r>
        <w:rPr>
          <w:rFonts w:ascii="宋体" w:hAnsi="宋体" w:eastAsia="宋体" w:cs="宋体"/>
          <w:spacing w:val="4"/>
          <w:sz w:val="24"/>
          <w:szCs w:val="24"/>
          <w:lang w:eastAsia="zh-CN"/>
        </w:rPr>
        <w:t>所投货物的详细技术描述并由制造商或固定代理商盖章确认，注明确认方联系方</w:t>
      </w:r>
      <w:r>
        <w:rPr>
          <w:rFonts w:ascii="宋体" w:hAnsi="宋体" w:eastAsia="宋体" w:cs="宋体"/>
          <w:sz w:val="24"/>
          <w:szCs w:val="24"/>
          <w:lang w:eastAsia="zh-CN"/>
        </w:rPr>
        <w:t>式备查；</w:t>
      </w:r>
    </w:p>
    <w:p>
      <w:pPr>
        <w:spacing w:before="38" w:line="355" w:lineRule="auto"/>
        <w:ind w:left="115" w:right="120" w:firstLine="480"/>
        <w:jc w:val="both"/>
        <w:rPr>
          <w:rFonts w:ascii="宋体" w:hAnsi="宋体" w:eastAsia="宋体" w:cs="宋体"/>
          <w:sz w:val="24"/>
          <w:szCs w:val="24"/>
          <w:lang w:eastAsia="zh-CN"/>
        </w:rPr>
      </w:pPr>
      <w:r>
        <w:rPr>
          <w:rFonts w:ascii="宋体" w:hAnsi="宋体" w:eastAsia="宋体" w:cs="宋体"/>
          <w:sz w:val="24"/>
          <w:szCs w:val="24"/>
          <w:lang w:eastAsia="zh-CN"/>
        </w:rPr>
        <w:t>10.6.3.5</w:t>
      </w:r>
      <w:r>
        <w:rPr>
          <w:rFonts w:ascii="宋体" w:hAnsi="宋体" w:eastAsia="宋体" w:cs="宋体"/>
          <w:spacing w:val="4"/>
          <w:sz w:val="24"/>
          <w:szCs w:val="24"/>
          <w:lang w:eastAsia="zh-CN"/>
        </w:rPr>
        <w:t>保证货物在质保期内正常、连续使用所必须的备品备件和专用工具清单</w:t>
      </w:r>
      <w:r>
        <w:rPr>
          <w:rFonts w:ascii="宋体" w:hAnsi="宋体" w:eastAsia="宋体" w:cs="宋体"/>
          <w:sz w:val="24"/>
          <w:szCs w:val="24"/>
          <w:lang w:eastAsia="zh-CN"/>
        </w:rPr>
        <w:t>及其货源地与价格；</w:t>
      </w:r>
    </w:p>
    <w:p>
      <w:pPr>
        <w:spacing w:before="38"/>
        <w:ind w:left="595" w:right="91"/>
        <w:rPr>
          <w:rFonts w:ascii="宋体" w:hAnsi="宋体" w:eastAsia="宋体" w:cs="宋体"/>
          <w:sz w:val="24"/>
          <w:szCs w:val="24"/>
          <w:lang w:eastAsia="zh-CN"/>
        </w:rPr>
      </w:pPr>
      <w:r>
        <w:rPr>
          <w:rFonts w:ascii="宋体" w:hAnsi="宋体" w:eastAsia="宋体" w:cs="宋体"/>
          <w:sz w:val="24"/>
          <w:szCs w:val="24"/>
          <w:lang w:eastAsia="zh-CN"/>
        </w:rPr>
        <w:t>10.6.3.6</w:t>
      </w:r>
      <w:r>
        <w:rPr>
          <w:rFonts w:ascii="宋体" w:hAnsi="宋体" w:eastAsia="宋体" w:cs="宋体"/>
          <w:spacing w:val="4"/>
          <w:sz w:val="24"/>
          <w:szCs w:val="24"/>
          <w:lang w:eastAsia="zh-CN"/>
        </w:rPr>
        <w:t>供应商在详细阐述货物的主要技术指标和性能说明时，应注意磋商文件</w:t>
      </w:r>
    </w:p>
    <w:p>
      <w:pPr>
        <w:spacing w:before="151" w:line="357" w:lineRule="auto"/>
        <w:ind w:left="115" w:right="120"/>
        <w:jc w:val="both"/>
        <w:rPr>
          <w:rFonts w:ascii="宋体" w:hAnsi="宋体" w:eastAsia="宋体" w:cs="宋体"/>
          <w:sz w:val="24"/>
          <w:szCs w:val="24"/>
          <w:lang w:eastAsia="zh-CN"/>
        </w:rPr>
      </w:pPr>
      <w:r>
        <w:rPr>
          <w:rFonts w:ascii="宋体" w:hAnsi="宋体" w:eastAsia="宋体" w:cs="宋体"/>
          <w:sz w:val="24"/>
          <w:szCs w:val="24"/>
          <w:lang w:eastAsia="zh-CN"/>
        </w:rPr>
        <w:t>第4章技术要求及说明中指出的工艺、材料和货物标准以及参照的品牌或文字叙述仅起</w:t>
      </w:r>
      <w:r>
        <w:rPr>
          <w:rFonts w:ascii="宋体" w:hAnsi="宋体" w:eastAsia="宋体" w:cs="宋体"/>
          <w:spacing w:val="4"/>
          <w:sz w:val="24"/>
          <w:szCs w:val="24"/>
          <w:lang w:eastAsia="zh-CN"/>
        </w:rPr>
        <w:t>说明作用，并无任何限制性，供应商可选用替代标准、品牌或文字叙述，但这些替代要实质</w:t>
      </w:r>
      <w:r>
        <w:rPr>
          <w:rFonts w:ascii="宋体" w:hAnsi="宋体" w:eastAsia="宋体" w:cs="宋体"/>
          <w:sz w:val="24"/>
          <w:szCs w:val="24"/>
          <w:lang w:eastAsia="zh-CN"/>
        </w:rPr>
        <w:t>上满足技术规格及参数要求。</w:t>
      </w:r>
    </w:p>
    <w:p>
      <w:pPr>
        <w:spacing w:before="34"/>
        <w:ind w:left="595" w:right="91"/>
        <w:rPr>
          <w:rFonts w:ascii="宋体" w:hAnsi="宋体" w:eastAsia="宋体" w:cs="宋体"/>
          <w:sz w:val="24"/>
          <w:szCs w:val="24"/>
          <w:lang w:eastAsia="zh-CN"/>
        </w:rPr>
      </w:pPr>
      <w:r>
        <w:rPr>
          <w:rFonts w:ascii="宋体" w:hAnsi="宋体" w:eastAsia="宋体" w:cs="宋体"/>
          <w:sz w:val="24"/>
          <w:szCs w:val="24"/>
          <w:lang w:eastAsia="zh-CN"/>
        </w:rPr>
        <w:t>10.6.3.7供应商需提供详细的技术资料证明其所投货物是否响应磋商文件。</w:t>
      </w:r>
    </w:p>
    <w:p>
      <w:pPr>
        <w:spacing w:before="151" w:line="357" w:lineRule="auto"/>
        <w:ind w:left="115" w:right="120" w:firstLine="480"/>
        <w:jc w:val="both"/>
        <w:rPr>
          <w:rFonts w:ascii="宋体" w:hAnsi="宋体" w:eastAsia="宋体" w:cs="宋体"/>
          <w:spacing w:val="4"/>
          <w:sz w:val="24"/>
          <w:szCs w:val="24"/>
          <w:lang w:eastAsia="zh-CN"/>
        </w:rPr>
      </w:pPr>
      <w:r>
        <w:rPr>
          <w:rFonts w:ascii="宋体" w:hAnsi="宋体" w:eastAsia="宋体" w:cs="宋体"/>
          <w:sz w:val="24"/>
          <w:szCs w:val="24"/>
          <w:lang w:eastAsia="zh-CN"/>
        </w:rPr>
        <w:t>10.6.3.8</w:t>
      </w:r>
      <w:r>
        <w:rPr>
          <w:rFonts w:ascii="宋体" w:hAnsi="宋体" w:eastAsia="宋体" w:cs="宋体"/>
          <w:spacing w:val="4"/>
          <w:sz w:val="24"/>
          <w:szCs w:val="24"/>
          <w:lang w:eastAsia="zh-CN"/>
        </w:rPr>
        <w:t>供应商必须对所提供货物（如机械、电子、仪器仪表、软件、商标等）知识产权方面的一切产权关系负全部责任，由此而引起的法律纠纷及费用，供应商须全部承担。</w:t>
      </w:r>
    </w:p>
    <w:p>
      <w:pPr>
        <w:spacing w:before="34"/>
        <w:ind w:left="595" w:right="91"/>
        <w:rPr>
          <w:rFonts w:ascii="宋体" w:hAnsi="宋体" w:eastAsia="宋体" w:cs="宋体"/>
          <w:sz w:val="24"/>
          <w:szCs w:val="24"/>
          <w:lang w:eastAsia="zh-CN"/>
        </w:rPr>
      </w:pPr>
      <w:r>
        <w:rPr>
          <w:rFonts w:ascii="宋体" w:hAnsi="宋体" w:eastAsia="宋体" w:cs="宋体"/>
          <w:sz w:val="24"/>
          <w:szCs w:val="24"/>
          <w:lang w:eastAsia="zh-CN"/>
        </w:rPr>
        <w:t>10.6.4.关于“技术响应表”的特别说明</w:t>
      </w:r>
    </w:p>
    <w:p>
      <w:pPr>
        <w:spacing w:before="154" w:line="357" w:lineRule="auto"/>
        <w:ind w:left="115" w:right="120" w:firstLine="480"/>
        <w:jc w:val="both"/>
        <w:rPr>
          <w:rFonts w:ascii="宋体" w:hAnsi="宋体" w:eastAsia="宋体" w:cs="宋体"/>
          <w:spacing w:val="4"/>
          <w:sz w:val="24"/>
          <w:szCs w:val="24"/>
          <w:lang w:eastAsia="zh-CN"/>
        </w:rPr>
      </w:pPr>
      <w:r>
        <w:rPr>
          <w:rFonts w:ascii="宋体" w:hAnsi="宋体" w:eastAsia="宋体" w:cs="宋体"/>
          <w:sz w:val="24"/>
          <w:szCs w:val="24"/>
          <w:lang w:eastAsia="zh-CN"/>
        </w:rPr>
        <w:t>10.6.4.1</w:t>
      </w:r>
      <w:r>
        <w:rPr>
          <w:rFonts w:ascii="宋体" w:hAnsi="宋体" w:eastAsia="宋体" w:cs="宋体"/>
          <w:spacing w:val="4"/>
          <w:sz w:val="24"/>
          <w:szCs w:val="24"/>
          <w:lang w:eastAsia="zh-CN"/>
        </w:rPr>
        <w:t>为合理节约政府采购评审成本，提倡诚实信用的磋商行为，特别要求供应商应本着诚信精神，在本次响应文件的“技术响应表”中，均以审慎的态度明确、清楚地披露各项响应情况。供应商须对照磋商文件技术规格、参数与要求，逐条说明所投货物与服务是否做出了实质性响应，</w:t>
      </w:r>
    </w:p>
    <w:p>
      <w:pPr>
        <w:spacing w:before="36"/>
        <w:ind w:left="595" w:right="91"/>
        <w:rPr>
          <w:rFonts w:ascii="宋体" w:hAnsi="宋体" w:eastAsia="宋体" w:cs="宋体"/>
          <w:sz w:val="24"/>
          <w:szCs w:val="24"/>
          <w:lang w:eastAsia="zh-CN"/>
        </w:rPr>
      </w:pPr>
      <w:r>
        <w:rPr>
          <w:rFonts w:ascii="宋体" w:hAnsi="宋体" w:eastAsia="宋体" w:cs="宋体"/>
          <w:sz w:val="24"/>
          <w:szCs w:val="24"/>
          <w:lang w:eastAsia="zh-CN"/>
        </w:rPr>
        <w:t>10.6.4.2响应程度分为“无偏离”、“正偏离”、“负偏离”。</w:t>
      </w:r>
    </w:p>
    <w:p>
      <w:pPr>
        <w:spacing w:before="151" w:line="357" w:lineRule="auto"/>
        <w:ind w:left="115" w:right="117" w:firstLine="480"/>
        <w:jc w:val="both"/>
        <w:rPr>
          <w:rFonts w:ascii="宋体" w:hAnsi="宋体" w:eastAsia="宋体" w:cs="宋体"/>
          <w:spacing w:val="4"/>
          <w:sz w:val="24"/>
          <w:szCs w:val="24"/>
          <w:lang w:eastAsia="zh-CN"/>
        </w:rPr>
      </w:pPr>
      <w:r>
        <w:rPr>
          <w:rFonts w:ascii="宋体" w:hAnsi="宋体" w:eastAsia="宋体" w:cs="宋体"/>
          <w:spacing w:val="-1"/>
          <w:w w:val="95"/>
          <w:sz w:val="24"/>
          <w:szCs w:val="24"/>
          <w:lang w:eastAsia="zh-CN"/>
        </w:rPr>
        <w:t>10.6.4.2.1</w:t>
      </w:r>
      <w:r>
        <w:rPr>
          <w:rFonts w:ascii="宋体" w:hAnsi="宋体" w:eastAsia="宋体" w:cs="宋体"/>
          <w:spacing w:val="4"/>
          <w:sz w:val="24"/>
          <w:szCs w:val="24"/>
          <w:lang w:eastAsia="zh-CN"/>
        </w:rPr>
        <w:t>“正偏离”是指所投产品或方案的技术及功能相比磋商文件的要求技术更先进、档次更高、更适合采购人使用。标注“正偏离”的，供应商必须注明认为“正偏离”的理由。</w:t>
      </w:r>
    </w:p>
    <w:p>
      <w:pPr>
        <w:spacing w:before="36"/>
        <w:ind w:left="595" w:right="91"/>
        <w:rPr>
          <w:rFonts w:ascii="宋体" w:hAnsi="宋体" w:eastAsia="宋体" w:cs="宋体"/>
          <w:spacing w:val="4"/>
          <w:sz w:val="24"/>
          <w:szCs w:val="24"/>
          <w:lang w:eastAsia="zh-CN"/>
        </w:rPr>
      </w:pPr>
      <w:r>
        <w:rPr>
          <w:rFonts w:ascii="宋体" w:hAnsi="宋体" w:eastAsia="宋体" w:cs="宋体"/>
          <w:spacing w:val="-1"/>
          <w:w w:val="95"/>
          <w:sz w:val="24"/>
          <w:szCs w:val="24"/>
          <w:lang w:eastAsia="zh-CN"/>
        </w:rPr>
        <w:t>10.6.4.2.2</w:t>
      </w:r>
      <w:r>
        <w:rPr>
          <w:rFonts w:ascii="宋体" w:hAnsi="宋体" w:eastAsia="宋体" w:cs="宋体"/>
          <w:spacing w:val="4"/>
          <w:sz w:val="24"/>
          <w:szCs w:val="24"/>
          <w:lang w:eastAsia="zh-CN"/>
        </w:rPr>
        <w:t>“负偏离”是指所投产品或方案的技术及功能相比磋商文件的要求存在瑕疵和不足。</w:t>
      </w:r>
    </w:p>
    <w:p>
      <w:pPr>
        <w:spacing w:before="36"/>
        <w:ind w:left="595" w:right="91"/>
        <w:rPr>
          <w:rFonts w:ascii="宋体" w:hAnsi="宋体" w:eastAsia="宋体" w:cs="宋体"/>
          <w:sz w:val="24"/>
          <w:szCs w:val="24"/>
          <w:lang w:eastAsia="zh-CN"/>
        </w:rPr>
      </w:pPr>
      <w:r>
        <w:rPr>
          <w:rFonts w:ascii="宋体" w:hAnsi="宋体" w:eastAsia="宋体" w:cs="宋体"/>
          <w:spacing w:val="4"/>
          <w:sz w:val="24"/>
          <w:szCs w:val="24"/>
          <w:lang w:eastAsia="zh-CN"/>
        </w:rPr>
        <w:t>10.6.4.2.3本次磋商不允许供应商复制粘贴磋商文件的技术要求作为其响应文件</w:t>
      </w:r>
      <w:r>
        <w:rPr>
          <w:rFonts w:ascii="宋体" w:hAnsi="宋体" w:eastAsia="宋体" w:cs="宋体"/>
          <w:sz w:val="24"/>
          <w:szCs w:val="24"/>
          <w:lang w:eastAsia="zh-CN"/>
        </w:rPr>
        <w:t>的响应情况。</w:t>
      </w:r>
    </w:p>
    <w:p>
      <w:pPr>
        <w:spacing w:before="38"/>
        <w:ind w:left="595" w:right="91"/>
        <w:rPr>
          <w:rFonts w:ascii="宋体" w:hAnsi="宋体" w:eastAsia="宋体" w:cs="宋体"/>
          <w:sz w:val="24"/>
          <w:szCs w:val="24"/>
          <w:lang w:eastAsia="zh-CN"/>
        </w:rPr>
      </w:pPr>
      <w:r>
        <w:rPr>
          <w:rFonts w:ascii="宋体" w:hAnsi="宋体" w:eastAsia="宋体" w:cs="宋体"/>
          <w:sz w:val="24"/>
          <w:szCs w:val="24"/>
          <w:lang w:eastAsia="zh-CN"/>
        </w:rPr>
        <w:t>10.6.5关于质保期的特别说明</w:t>
      </w:r>
    </w:p>
    <w:p>
      <w:pPr>
        <w:spacing w:before="151"/>
        <w:ind w:left="595" w:right="91"/>
        <w:rPr>
          <w:rFonts w:ascii="宋体" w:hAnsi="宋体" w:eastAsia="宋体" w:cs="宋体"/>
          <w:sz w:val="24"/>
          <w:szCs w:val="24"/>
          <w:lang w:eastAsia="zh-CN"/>
        </w:rPr>
      </w:pPr>
      <w:r>
        <w:rPr>
          <w:rFonts w:ascii="宋体" w:hAnsi="宋体" w:eastAsia="宋体" w:cs="宋体"/>
          <w:sz w:val="24"/>
          <w:szCs w:val="24"/>
          <w:lang w:eastAsia="zh-CN"/>
        </w:rPr>
        <w:t>10.6.5.1本次磋商项目质保期见</w:t>
      </w:r>
      <w:r>
        <w:rPr>
          <w:rFonts w:ascii="宋体" w:hAnsi="宋体" w:eastAsia="宋体" w:cs="宋体"/>
          <w:sz w:val="24"/>
          <w:szCs w:val="24"/>
          <w:u w:val="single" w:color="000000"/>
          <w:lang w:eastAsia="zh-CN"/>
        </w:rPr>
        <w:t>供应商须知资料表</w:t>
      </w:r>
      <w:r>
        <w:rPr>
          <w:rFonts w:ascii="宋体" w:hAnsi="宋体" w:eastAsia="宋体" w:cs="宋体"/>
          <w:sz w:val="24"/>
          <w:szCs w:val="24"/>
          <w:lang w:eastAsia="zh-CN"/>
        </w:rPr>
        <w:t>或第4章技术要求及说明。</w:t>
      </w:r>
    </w:p>
    <w:p>
      <w:pPr>
        <w:spacing w:before="154"/>
        <w:ind w:left="595" w:right="91"/>
        <w:rPr>
          <w:rFonts w:ascii="宋体" w:hAnsi="宋体" w:eastAsia="宋体" w:cs="宋体"/>
          <w:b/>
          <w:bCs/>
          <w:sz w:val="24"/>
          <w:szCs w:val="24"/>
          <w:highlight w:val="none"/>
          <w:lang w:eastAsia="zh-CN"/>
        </w:rPr>
      </w:pPr>
      <w:r>
        <w:rPr>
          <w:rFonts w:ascii="宋体" w:hAnsi="宋体" w:eastAsia="宋体" w:cs="宋体"/>
          <w:sz w:val="24"/>
          <w:szCs w:val="24"/>
          <w:highlight w:val="none"/>
          <w:lang w:eastAsia="zh-CN"/>
        </w:rPr>
        <w:t>10.6.5.2</w:t>
      </w:r>
      <w:r>
        <w:rPr>
          <w:rFonts w:ascii="宋体" w:hAnsi="宋体" w:eastAsia="宋体" w:cs="宋体"/>
          <w:b/>
          <w:bCs/>
          <w:spacing w:val="4"/>
          <w:sz w:val="24"/>
          <w:szCs w:val="24"/>
          <w:highlight w:val="none"/>
          <w:lang w:eastAsia="zh-CN"/>
        </w:rPr>
        <w:t>磋商文件第二册如无特殊要求的，进口货物质保期最短</w:t>
      </w:r>
      <w:r>
        <w:rPr>
          <w:rFonts w:ascii="宋体" w:hAnsi="宋体" w:eastAsia="宋体" w:cs="宋体"/>
          <w:b/>
          <w:bCs/>
          <w:sz w:val="24"/>
          <w:szCs w:val="24"/>
          <w:highlight w:val="none"/>
          <w:lang w:eastAsia="zh-CN"/>
        </w:rPr>
        <w:t>2</w:t>
      </w:r>
      <w:r>
        <w:rPr>
          <w:rFonts w:ascii="宋体" w:hAnsi="宋体" w:eastAsia="宋体" w:cs="宋体"/>
          <w:b/>
          <w:bCs/>
          <w:spacing w:val="3"/>
          <w:sz w:val="24"/>
          <w:szCs w:val="24"/>
          <w:highlight w:val="none"/>
          <w:lang w:eastAsia="zh-CN"/>
        </w:rPr>
        <w:t>年，国产货物</w:t>
      </w:r>
    </w:p>
    <w:p>
      <w:pPr>
        <w:spacing w:before="154"/>
        <w:ind w:left="115"/>
        <w:jc w:val="both"/>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质保期最短2年。</w:t>
      </w:r>
    </w:p>
    <w:p>
      <w:pPr>
        <w:spacing w:before="2" w:line="357" w:lineRule="auto"/>
        <w:ind w:left="115" w:right="91" w:firstLine="480"/>
        <w:rPr>
          <w:rFonts w:ascii="宋体" w:hAnsi="宋体" w:eastAsia="宋体" w:cs="宋体"/>
          <w:sz w:val="24"/>
          <w:szCs w:val="24"/>
          <w:lang w:eastAsia="zh-CN"/>
        </w:rPr>
      </w:pPr>
      <w:r>
        <w:rPr>
          <w:rFonts w:ascii="宋体" w:hAnsi="宋体" w:eastAsia="宋体" w:cs="宋体"/>
          <w:b/>
          <w:bCs/>
          <w:sz w:val="24"/>
          <w:szCs w:val="24"/>
          <w:lang w:eastAsia="zh-CN"/>
        </w:rPr>
        <w:t>10.6.5.3</w:t>
      </w:r>
      <w:r>
        <w:rPr>
          <w:rFonts w:ascii="宋体" w:hAnsi="宋体" w:eastAsia="宋体" w:cs="宋体"/>
          <w:b/>
          <w:bCs/>
          <w:spacing w:val="4"/>
          <w:sz w:val="24"/>
          <w:szCs w:val="24"/>
          <w:lang w:eastAsia="zh-CN"/>
        </w:rPr>
        <w:t>质保期大于磋商文件要求的，供应商视所投情况提供质保</w:t>
      </w:r>
      <w:r>
        <w:rPr>
          <w:rFonts w:ascii="宋体" w:hAnsi="宋体" w:eastAsia="宋体" w:cs="宋体"/>
          <w:b/>
          <w:bCs/>
          <w:sz w:val="24"/>
          <w:szCs w:val="24"/>
          <w:lang w:eastAsia="zh-CN"/>
        </w:rPr>
        <w:t>函。</w:t>
      </w:r>
    </w:p>
    <w:p>
      <w:pPr>
        <w:spacing w:before="34"/>
        <w:ind w:left="595" w:right="211"/>
        <w:rPr>
          <w:rFonts w:ascii="宋体" w:hAnsi="宋体" w:eastAsia="宋体" w:cs="宋体"/>
          <w:sz w:val="24"/>
          <w:szCs w:val="24"/>
          <w:lang w:eastAsia="zh-CN"/>
        </w:rPr>
      </w:pPr>
      <w:r>
        <w:rPr>
          <w:rFonts w:ascii="宋体" w:hAnsi="宋体" w:eastAsia="宋体" w:cs="宋体"/>
          <w:sz w:val="24"/>
          <w:szCs w:val="24"/>
          <w:lang w:eastAsia="zh-CN"/>
        </w:rPr>
        <w:t>10.7</w:t>
      </w:r>
      <w:r>
        <w:rPr>
          <w:rFonts w:ascii="宋体" w:hAnsi="宋体" w:eastAsia="宋体" w:cs="宋体"/>
          <w:b/>
          <w:bCs/>
          <w:sz w:val="24"/>
          <w:szCs w:val="24"/>
          <w:lang w:eastAsia="zh-CN"/>
        </w:rPr>
        <w:t>证明响应标的的合格性和符合竞争性磋商文件规定的技术文件</w:t>
      </w:r>
    </w:p>
    <w:p>
      <w:pPr>
        <w:pStyle w:val="2"/>
        <w:spacing w:line="355" w:lineRule="auto"/>
        <w:ind w:right="203" w:firstLine="480"/>
        <w:rPr>
          <w:lang w:eastAsia="zh-CN"/>
        </w:rPr>
      </w:pPr>
      <w:r>
        <w:rPr>
          <w:lang w:eastAsia="zh-CN"/>
        </w:rPr>
        <w:t>10.7.1</w:t>
      </w:r>
      <w:r>
        <w:rPr>
          <w:spacing w:val="-4"/>
          <w:lang w:eastAsia="zh-CN"/>
        </w:rPr>
        <w:t>供应商应提交证明文件，证明其响应内容符合竞争性磋商文件规定。该证明</w:t>
      </w:r>
      <w:r>
        <w:rPr>
          <w:lang w:eastAsia="zh-CN"/>
        </w:rPr>
        <w:t>文件是响应文件的一部分。</w:t>
      </w:r>
    </w:p>
    <w:p>
      <w:pPr>
        <w:pStyle w:val="2"/>
        <w:spacing w:before="38"/>
        <w:ind w:left="595" w:right="211"/>
        <w:rPr>
          <w:lang w:eastAsia="zh-CN"/>
        </w:rPr>
      </w:pPr>
      <w:r>
        <w:rPr>
          <w:lang w:eastAsia="zh-CN"/>
        </w:rPr>
        <w:t>10.7.2上款所述的证明文件，可以是文字资料、图纸和数据，它包括：</w:t>
      </w:r>
    </w:p>
    <w:p>
      <w:pPr>
        <w:pStyle w:val="2"/>
        <w:spacing w:before="151"/>
        <w:ind w:left="595" w:right="211"/>
        <w:rPr>
          <w:lang w:eastAsia="zh-CN"/>
        </w:rPr>
      </w:pPr>
      <w:r>
        <w:rPr>
          <w:lang w:eastAsia="zh-CN"/>
        </w:rPr>
        <w:t>10.7.2.1货物主要技术规格和性能的详细说明；</w:t>
      </w:r>
    </w:p>
    <w:p>
      <w:pPr>
        <w:pStyle w:val="2"/>
        <w:spacing w:line="357" w:lineRule="auto"/>
        <w:ind w:right="201" w:firstLine="480"/>
        <w:rPr>
          <w:lang w:eastAsia="zh-CN"/>
        </w:rPr>
      </w:pPr>
      <w:r>
        <w:rPr>
          <w:lang w:eastAsia="zh-CN"/>
        </w:rPr>
        <w:t>10.7.2.2货物从采购人开始使用至竞争性磋商文件规定的保质期内正常、连续地使用所必须的备件和专用工具清单，包括备件和专用工具的货源及现行价格；</w:t>
      </w:r>
    </w:p>
    <w:p>
      <w:pPr>
        <w:pStyle w:val="2"/>
        <w:keepNext w:val="0"/>
        <w:keepLines w:val="0"/>
        <w:pageBreakBefore w:val="0"/>
        <w:widowControl w:val="0"/>
        <w:kinsoku/>
        <w:wordWrap/>
        <w:overflowPunct/>
        <w:topLinePunct w:val="0"/>
        <w:autoSpaceDE/>
        <w:autoSpaceDN/>
        <w:bidi w:val="0"/>
        <w:adjustRightInd/>
        <w:snapToGrid/>
        <w:spacing w:before="0" w:line="358" w:lineRule="auto"/>
        <w:ind w:left="113" w:right="0" w:firstLine="482"/>
        <w:textAlignment w:val="auto"/>
        <w:rPr>
          <w:lang w:eastAsia="zh-CN"/>
        </w:rPr>
      </w:pPr>
      <w:r>
        <w:rPr>
          <w:lang w:eastAsia="zh-CN"/>
        </w:rPr>
        <w:t>10.7.2.3对照竞争性磋商文件技术规格，逐条说明所提供货物及伴随的服务已对竞争性磋商文件的技术规格做出了实质性的响应，或申明与技术规格条文的偏差和例外。</w:t>
      </w:r>
    </w:p>
    <w:p>
      <w:pPr>
        <w:pStyle w:val="2"/>
        <w:keepNext w:val="0"/>
        <w:keepLines w:val="0"/>
        <w:pageBreakBefore w:val="0"/>
        <w:widowControl w:val="0"/>
        <w:kinsoku/>
        <w:wordWrap/>
        <w:overflowPunct/>
        <w:topLinePunct w:val="0"/>
        <w:autoSpaceDE/>
        <w:autoSpaceDN/>
        <w:bidi w:val="0"/>
        <w:adjustRightInd/>
        <w:snapToGrid/>
        <w:spacing w:before="0" w:line="358" w:lineRule="auto"/>
        <w:ind w:left="113" w:right="0" w:firstLine="482"/>
        <w:textAlignment w:val="auto"/>
        <w:rPr>
          <w:lang w:eastAsia="zh-CN"/>
        </w:rPr>
      </w:pPr>
      <w:r>
        <w:rPr>
          <w:lang w:eastAsia="zh-CN"/>
        </w:rPr>
        <w:t>10.7.3本条所指证明文件不包括对竞争性磋商文件相关部分的文字、图标的复制。</w:t>
      </w:r>
    </w:p>
    <w:p>
      <w:pPr>
        <w:pStyle w:val="2"/>
        <w:spacing w:line="357" w:lineRule="auto"/>
        <w:ind w:right="201" w:firstLine="480"/>
        <w:rPr>
          <w:lang w:eastAsia="zh-CN"/>
        </w:rPr>
      </w:pPr>
      <w:r>
        <w:rPr>
          <w:lang w:eastAsia="zh-CN"/>
        </w:rPr>
        <w:t>10.7.4货物安装、验收标准；</w:t>
      </w:r>
    </w:p>
    <w:p>
      <w:pPr>
        <w:pStyle w:val="2"/>
        <w:spacing w:before="151"/>
        <w:ind w:left="595" w:right="211"/>
        <w:rPr>
          <w:lang w:eastAsia="zh-CN"/>
        </w:rPr>
      </w:pPr>
      <w:r>
        <w:rPr>
          <w:lang w:eastAsia="zh-CN"/>
        </w:rPr>
        <w:t>10.7.5售后服务网点明细表（包括联系人、详细地址、电话、传真）；</w:t>
      </w:r>
    </w:p>
    <w:p>
      <w:pPr>
        <w:pStyle w:val="10"/>
        <w:spacing w:before="154"/>
        <w:ind w:right="211"/>
        <w:rPr>
          <w:b w:val="0"/>
          <w:bCs w:val="0"/>
          <w:lang w:eastAsia="zh-CN"/>
        </w:rPr>
      </w:pPr>
      <w:bookmarkStart w:id="15" w:name="11.报价"/>
      <w:bookmarkEnd w:id="15"/>
      <w:r>
        <w:rPr>
          <w:lang w:eastAsia="zh-CN"/>
        </w:rPr>
        <w:t>11.报价</w:t>
      </w:r>
    </w:p>
    <w:p>
      <w:pPr>
        <w:pStyle w:val="2"/>
        <w:spacing w:before="151" w:line="357" w:lineRule="auto"/>
        <w:ind w:right="201" w:firstLine="480"/>
        <w:jc w:val="both"/>
        <w:rPr>
          <w:lang w:eastAsia="zh-CN"/>
        </w:rPr>
      </w:pPr>
      <w:r>
        <w:rPr>
          <w:lang w:eastAsia="zh-CN"/>
        </w:rPr>
        <w:t>11.1</w:t>
      </w:r>
      <w:r>
        <w:rPr>
          <w:spacing w:val="-4"/>
          <w:lang w:eastAsia="zh-CN"/>
        </w:rPr>
        <w:t>供应商的报价应当包括满足本次磋商全部采购需求所应提供的货物，以及伴随</w:t>
      </w:r>
      <w:r>
        <w:rPr>
          <w:spacing w:val="-2"/>
          <w:lang w:eastAsia="zh-CN"/>
        </w:rPr>
        <w:t>的服务和工程。</w:t>
      </w:r>
      <w:r>
        <w:rPr>
          <w:rFonts w:cs="宋体"/>
          <w:b/>
          <w:bCs/>
          <w:spacing w:val="-2"/>
          <w:lang w:eastAsia="zh-CN"/>
        </w:rPr>
        <w:t>报价要求详见</w:t>
      </w:r>
      <w:r>
        <w:rPr>
          <w:rFonts w:cs="宋体"/>
          <w:b/>
          <w:bCs/>
          <w:spacing w:val="-2"/>
          <w:u w:val="single" w:color="000000"/>
          <w:lang w:eastAsia="zh-CN"/>
        </w:rPr>
        <w:t>供应商须知资料表</w:t>
      </w:r>
      <w:r>
        <w:rPr>
          <w:rFonts w:cs="宋体"/>
          <w:b/>
          <w:bCs/>
          <w:spacing w:val="-2"/>
          <w:lang w:eastAsia="zh-CN"/>
        </w:rPr>
        <w:t>。</w:t>
      </w:r>
      <w:r>
        <w:rPr>
          <w:spacing w:val="-2"/>
          <w:lang w:eastAsia="zh-CN"/>
        </w:rPr>
        <w:t>供应商的报价应遵守《中华人民共和</w:t>
      </w:r>
      <w:r>
        <w:rPr>
          <w:lang w:eastAsia="zh-CN"/>
        </w:rPr>
        <w:t>国价格法》。</w:t>
      </w:r>
    </w:p>
    <w:p>
      <w:pPr>
        <w:pStyle w:val="2"/>
        <w:spacing w:before="36"/>
        <w:ind w:left="595"/>
        <w:rPr>
          <w:lang w:eastAsia="zh-CN"/>
        </w:rPr>
      </w:pPr>
      <w:r>
        <w:rPr>
          <w:lang w:eastAsia="zh-CN"/>
        </w:rPr>
        <w:t>11.2供应商应在分项报价表上标明响应货物及相关服务的单价（如适用）和总价。</w:t>
      </w:r>
    </w:p>
    <w:p>
      <w:pPr>
        <w:pStyle w:val="2"/>
        <w:spacing w:before="151"/>
        <w:ind w:left="595" w:right="91"/>
        <w:rPr>
          <w:lang w:eastAsia="zh-CN"/>
        </w:rPr>
      </w:pPr>
      <w:r>
        <w:rPr>
          <w:lang w:eastAsia="zh-CN"/>
        </w:rPr>
        <w:t>11.3</w:t>
      </w:r>
      <w:r>
        <w:rPr>
          <w:spacing w:val="-4"/>
          <w:lang w:eastAsia="zh-CN"/>
        </w:rPr>
        <w:t>分项报价表上的价格应包括：响应货物（包括备品备件、专用工具等）的价格</w:t>
      </w:r>
    </w:p>
    <w:p>
      <w:pPr>
        <w:pStyle w:val="2"/>
        <w:spacing w:line="357" w:lineRule="auto"/>
        <w:ind w:right="217"/>
        <w:jc w:val="both"/>
        <w:rPr>
          <w:lang w:eastAsia="zh-CN"/>
        </w:rPr>
      </w:pPr>
      <w:r>
        <w:rPr>
          <w:spacing w:val="-2"/>
          <w:lang w:eastAsia="zh-CN"/>
        </w:rPr>
        <w:t>（包括已在中国国内的进口货物完税后的仓库交货价、展室交货价或货架交货价），响应货物运输（含保险）、安装、调试、检验、验收、技术服务、培训和竞争性磋商文件</w:t>
      </w:r>
      <w:r>
        <w:rPr>
          <w:lang w:eastAsia="zh-CN"/>
        </w:rPr>
        <w:t>要求提供的所有伴随服务、工程等费用。</w:t>
      </w:r>
    </w:p>
    <w:p>
      <w:pPr>
        <w:pStyle w:val="2"/>
        <w:spacing w:before="36" w:line="355" w:lineRule="auto"/>
        <w:ind w:right="202" w:firstLine="480"/>
        <w:rPr>
          <w:lang w:eastAsia="zh-CN"/>
        </w:rPr>
      </w:pPr>
      <w:r>
        <w:rPr>
          <w:lang w:eastAsia="zh-CN"/>
        </w:rPr>
        <w:t>11.4</w:t>
      </w:r>
      <w:r>
        <w:rPr>
          <w:spacing w:val="-4"/>
          <w:lang w:eastAsia="zh-CN"/>
        </w:rPr>
        <w:t>供应商所报的各分项单价在合同履行过程中是固定不变的，不得以任何理由予</w:t>
      </w:r>
      <w:r>
        <w:rPr>
          <w:lang w:eastAsia="zh-CN"/>
        </w:rPr>
        <w:t>以变更。任何包含价格调整要求的响应文件，其响应文件将被认定为无效。</w:t>
      </w:r>
    </w:p>
    <w:p>
      <w:pPr>
        <w:pStyle w:val="2"/>
        <w:spacing w:before="36"/>
        <w:ind w:left="595" w:right="211"/>
        <w:rPr>
          <w:lang w:eastAsia="zh-CN"/>
        </w:rPr>
      </w:pPr>
      <w:r>
        <w:rPr>
          <w:lang w:eastAsia="zh-CN"/>
        </w:rPr>
        <w:t>11.5采购人不接受具有附加条件的报价或多个方案的报价。</w:t>
      </w:r>
    </w:p>
    <w:p>
      <w:pPr>
        <w:pStyle w:val="2"/>
        <w:spacing w:line="355" w:lineRule="auto"/>
        <w:ind w:right="202" w:firstLine="480"/>
        <w:rPr>
          <w:lang w:eastAsia="zh-CN"/>
        </w:rPr>
      </w:pPr>
      <w:r>
        <w:rPr>
          <w:lang w:eastAsia="zh-CN"/>
        </w:rPr>
        <w:t>11.6</w:t>
      </w:r>
      <w:r>
        <w:rPr>
          <w:spacing w:val="-4"/>
          <w:lang w:eastAsia="zh-CN"/>
        </w:rPr>
        <w:t>若第八部分技术要求及说明中未体现“允许采购进口产品”字样，供应商不允</w:t>
      </w:r>
      <w:r>
        <w:rPr>
          <w:lang w:eastAsia="zh-CN"/>
        </w:rPr>
        <w:t>许采用进口产品报价。</w:t>
      </w:r>
    </w:p>
    <w:p>
      <w:pPr>
        <w:pStyle w:val="2"/>
        <w:spacing w:before="38" w:line="357" w:lineRule="auto"/>
        <w:ind w:right="202" w:firstLine="480"/>
        <w:rPr>
          <w:b/>
          <w:bCs/>
          <w:highlight w:val="none"/>
          <w:lang w:eastAsia="zh-CN"/>
        </w:rPr>
      </w:pPr>
      <w:r>
        <w:rPr>
          <w:highlight w:val="none"/>
          <w:lang w:eastAsia="zh-CN"/>
        </w:rPr>
        <w:t>11.</w:t>
      </w:r>
      <w:r>
        <w:rPr>
          <w:b/>
          <w:bCs/>
          <w:highlight w:val="none"/>
          <w:lang w:eastAsia="zh-CN"/>
        </w:rPr>
        <w:t>7</w:t>
      </w:r>
      <w:r>
        <w:rPr>
          <w:b/>
          <w:bCs/>
          <w:spacing w:val="-4"/>
          <w:highlight w:val="none"/>
          <w:lang w:eastAsia="zh-CN"/>
        </w:rPr>
        <w:t>通过资格性审查和符合性审查的供应商有再次报价的机会，但每一次报价均</w:t>
      </w:r>
      <w:r>
        <w:rPr>
          <w:rFonts w:hint="eastAsia"/>
          <w:b/>
          <w:bCs/>
          <w:spacing w:val="-4"/>
          <w:highlight w:val="none"/>
          <w:lang w:val="en-US" w:eastAsia="zh-CN"/>
        </w:rPr>
        <w:t>不得超过上一轮报价</w:t>
      </w:r>
      <w:r>
        <w:rPr>
          <w:b/>
          <w:bCs/>
          <w:highlight w:val="none"/>
          <w:lang w:eastAsia="zh-CN"/>
        </w:rPr>
        <w:t>。</w:t>
      </w:r>
    </w:p>
    <w:p>
      <w:pPr>
        <w:pStyle w:val="2"/>
        <w:ind w:left="595"/>
        <w:rPr>
          <w:lang w:eastAsia="zh-CN"/>
        </w:rPr>
      </w:pPr>
      <w:r>
        <w:rPr>
          <w:lang w:eastAsia="zh-CN"/>
        </w:rPr>
        <w:t>11.</w:t>
      </w:r>
      <w:r>
        <w:rPr>
          <w:rFonts w:hint="eastAsia"/>
          <w:lang w:val="en-US" w:eastAsia="zh-CN"/>
        </w:rPr>
        <w:t>8</w:t>
      </w:r>
      <w:r>
        <w:rPr>
          <w:u w:val="single" w:color="000000"/>
          <w:lang w:eastAsia="zh-CN"/>
        </w:rPr>
        <w:t>供应商须知资料表</w:t>
      </w:r>
      <w:r>
        <w:rPr>
          <w:lang w:eastAsia="zh-CN"/>
        </w:rPr>
        <w:t>规定供应商应提交样品的，样品构成磋商文件的组成部分。</w:t>
      </w:r>
    </w:p>
    <w:p>
      <w:pPr>
        <w:pStyle w:val="10"/>
        <w:spacing w:before="154"/>
        <w:ind w:right="104"/>
        <w:rPr>
          <w:b w:val="0"/>
          <w:bCs w:val="0"/>
          <w:lang w:eastAsia="zh-CN"/>
        </w:rPr>
      </w:pPr>
      <w:bookmarkStart w:id="16" w:name="12.磋商保证金"/>
      <w:bookmarkEnd w:id="16"/>
      <w:r>
        <w:rPr>
          <w:lang w:eastAsia="zh-CN"/>
        </w:rPr>
        <w:t>12.磋商保证金</w:t>
      </w:r>
    </w:p>
    <w:p>
      <w:pPr>
        <w:spacing w:before="151" w:line="355" w:lineRule="auto"/>
        <w:ind w:left="115" w:right="263" w:firstLine="480"/>
        <w:rPr>
          <w:rFonts w:ascii="宋体" w:hAnsi="宋体" w:eastAsia="宋体" w:cs="宋体"/>
          <w:sz w:val="24"/>
          <w:szCs w:val="24"/>
          <w:lang w:eastAsia="zh-CN"/>
        </w:rPr>
      </w:pPr>
      <w:r>
        <w:rPr>
          <w:rFonts w:ascii="宋体" w:hAnsi="宋体" w:eastAsia="宋体" w:cs="宋体"/>
          <w:sz w:val="24"/>
          <w:szCs w:val="24"/>
          <w:lang w:eastAsia="zh-CN"/>
        </w:rPr>
        <w:t>12.1</w:t>
      </w:r>
      <w:r>
        <w:rPr>
          <w:rFonts w:ascii="宋体" w:hAnsi="宋体" w:eastAsia="宋体" w:cs="宋体"/>
          <w:b/>
          <w:bCs/>
          <w:sz w:val="24"/>
          <w:szCs w:val="24"/>
          <w:lang w:eastAsia="zh-CN"/>
        </w:rPr>
        <w:t>根据鲁财采【2019】40号的规定，本项目不向诚信记录良好的投标人收取磋商保证金。</w:t>
      </w:r>
    </w:p>
    <w:p>
      <w:pPr>
        <w:pStyle w:val="2"/>
        <w:spacing w:before="38" w:line="357" w:lineRule="auto"/>
        <w:ind w:right="222" w:firstLine="480"/>
        <w:rPr>
          <w:lang w:eastAsia="zh-CN"/>
        </w:rPr>
      </w:pPr>
      <w:r>
        <w:rPr>
          <w:lang w:eastAsia="zh-CN"/>
        </w:rPr>
        <w:t>12.2</w:t>
      </w:r>
      <w:r>
        <w:rPr>
          <w:spacing w:val="-4"/>
          <w:lang w:eastAsia="zh-CN"/>
        </w:rPr>
        <w:t>供应商在磋商过程及成交后如有违反法律法规的情形，采购代理机构将如实上</w:t>
      </w:r>
      <w:r>
        <w:rPr>
          <w:lang w:eastAsia="zh-CN"/>
        </w:rPr>
        <w:t>报政府采购监管部门。</w:t>
      </w:r>
    </w:p>
    <w:p>
      <w:pPr>
        <w:pStyle w:val="10"/>
        <w:ind w:right="104"/>
        <w:rPr>
          <w:b w:val="0"/>
          <w:bCs w:val="0"/>
          <w:lang w:eastAsia="zh-CN"/>
        </w:rPr>
      </w:pPr>
      <w:bookmarkStart w:id="17" w:name="13.响应有效期"/>
      <w:bookmarkEnd w:id="17"/>
      <w:r>
        <w:rPr>
          <w:lang w:eastAsia="zh-CN"/>
        </w:rPr>
        <w:t>13.响应有效期</w:t>
      </w:r>
    </w:p>
    <w:p>
      <w:pPr>
        <w:pStyle w:val="2"/>
        <w:spacing w:line="355" w:lineRule="auto"/>
        <w:ind w:right="222" w:firstLine="480"/>
        <w:rPr>
          <w:b w:val="0"/>
          <w:bCs w:val="0"/>
          <w:lang w:eastAsia="zh-CN"/>
        </w:rPr>
      </w:pPr>
      <w:r>
        <w:rPr>
          <w:lang w:eastAsia="zh-CN"/>
        </w:rPr>
        <w:t>13.1</w:t>
      </w:r>
      <w:r>
        <w:rPr>
          <w:spacing w:val="-4"/>
          <w:lang w:eastAsia="zh-CN"/>
        </w:rPr>
        <w:t>响应应在</w:t>
      </w:r>
      <w:r>
        <w:rPr>
          <w:spacing w:val="-4"/>
          <w:u w:val="single" w:color="000000"/>
          <w:lang w:eastAsia="zh-CN"/>
        </w:rPr>
        <w:t>供应商须知资料表</w:t>
      </w:r>
      <w:r>
        <w:rPr>
          <w:spacing w:val="-4"/>
          <w:lang w:eastAsia="zh-CN"/>
        </w:rPr>
        <w:t>中规定时间内保持有效。响应有效期不满足要求的</w:t>
      </w:r>
      <w:r>
        <w:rPr>
          <w:b w:val="0"/>
          <w:bCs w:val="0"/>
          <w:lang w:eastAsia="zh-CN"/>
        </w:rPr>
        <w:t>响应，其响应文件将被认定为</w:t>
      </w:r>
      <w:r>
        <w:rPr>
          <w:rFonts w:cs="宋体"/>
          <w:b w:val="0"/>
          <w:bCs w:val="0"/>
          <w:lang w:eastAsia="zh-CN"/>
        </w:rPr>
        <w:t>无效</w:t>
      </w:r>
      <w:r>
        <w:rPr>
          <w:b w:val="0"/>
          <w:bCs w:val="0"/>
          <w:lang w:eastAsia="zh-CN"/>
        </w:rPr>
        <w:t>。</w:t>
      </w:r>
    </w:p>
    <w:p>
      <w:pPr>
        <w:pStyle w:val="2"/>
        <w:spacing w:before="38" w:line="357" w:lineRule="auto"/>
        <w:ind w:right="237" w:firstLine="480"/>
        <w:jc w:val="both"/>
        <w:rPr>
          <w:lang w:eastAsia="zh-CN"/>
        </w:rPr>
      </w:pPr>
      <w:r>
        <w:rPr>
          <w:lang w:eastAsia="zh-CN"/>
        </w:rPr>
        <w:t>13.2</w:t>
      </w:r>
      <w:r>
        <w:rPr>
          <w:spacing w:val="-4"/>
          <w:lang w:eastAsia="zh-CN"/>
        </w:rPr>
        <w:t>因特殊原因，采购人或采购代理机构可以在原响应有效期截止之前，要求供应</w:t>
      </w:r>
      <w:r>
        <w:rPr>
          <w:spacing w:val="-2"/>
          <w:lang w:eastAsia="zh-CN"/>
        </w:rPr>
        <w:t>商延长响应文件的有效期。接受该要求的供应商将不会被要求和允许修正其响应，且本须知中有关磋商保证金的要求须在延长的有效期内继续有效。供应商可以拒绝延长响应</w:t>
      </w:r>
      <w:r>
        <w:rPr>
          <w:lang w:eastAsia="zh-CN"/>
        </w:rPr>
        <w:t>有效期的要求，且不承担任何责任。上述要求和答复都应以书面形式提交。</w:t>
      </w:r>
    </w:p>
    <w:p>
      <w:pPr>
        <w:pStyle w:val="10"/>
        <w:spacing w:before="36"/>
        <w:ind w:right="104"/>
        <w:rPr>
          <w:b w:val="0"/>
          <w:bCs w:val="0"/>
          <w:lang w:eastAsia="zh-CN"/>
        </w:rPr>
      </w:pPr>
      <w:bookmarkStart w:id="18" w:name="14.响应文件的签署及规定"/>
      <w:bookmarkEnd w:id="18"/>
      <w:r>
        <w:rPr>
          <w:lang w:eastAsia="zh-CN"/>
        </w:rPr>
        <w:t>14.响应文件的</w:t>
      </w:r>
      <w:r>
        <w:rPr>
          <w:u w:val="single" w:color="000000"/>
          <w:lang w:eastAsia="zh-CN"/>
        </w:rPr>
        <w:t>签署及规定</w:t>
      </w:r>
    </w:p>
    <w:p>
      <w:pPr>
        <w:pStyle w:val="2"/>
        <w:spacing w:before="151"/>
        <w:ind w:left="595" w:right="104"/>
        <w:rPr>
          <w:lang w:eastAsia="zh-CN"/>
        </w:rPr>
      </w:pPr>
      <w:r>
        <w:rPr>
          <w:lang w:eastAsia="zh-CN"/>
        </w:rPr>
        <w:t>14.1电子标</w:t>
      </w:r>
    </w:p>
    <w:p>
      <w:pPr>
        <w:pStyle w:val="2"/>
        <w:ind w:left="595" w:right="104"/>
        <w:rPr>
          <w:lang w:eastAsia="zh-CN"/>
        </w:rPr>
      </w:pPr>
      <w:r>
        <w:rPr>
          <w:lang w:eastAsia="zh-CN"/>
        </w:rPr>
        <w:t>14.1.1供应商应按</w:t>
      </w:r>
      <w:r>
        <w:rPr>
          <w:u w:val="single" w:color="000000"/>
          <w:lang w:eastAsia="zh-CN"/>
        </w:rPr>
        <w:t>供应商须知资料表</w:t>
      </w:r>
      <w:r>
        <w:rPr>
          <w:lang w:eastAsia="zh-CN"/>
        </w:rPr>
        <w:t>中的规定</w:t>
      </w:r>
      <w:r>
        <w:rPr>
          <w:spacing w:val="-108"/>
          <w:lang w:eastAsia="zh-CN"/>
        </w:rPr>
        <w:t>，</w:t>
      </w:r>
      <w:r>
        <w:rPr>
          <w:lang w:eastAsia="zh-CN"/>
        </w:rPr>
        <w:t>准备和递交1份加密电子响应文件</w:t>
      </w:r>
    </w:p>
    <w:p>
      <w:pPr>
        <w:pStyle w:val="2"/>
        <w:spacing w:line="355" w:lineRule="auto"/>
        <w:ind w:right="223"/>
        <w:rPr>
          <w:lang w:eastAsia="zh-CN"/>
        </w:rPr>
      </w:pPr>
      <w:r>
        <w:rPr>
          <w:lang w:eastAsia="zh-CN"/>
        </w:rPr>
        <w:t>（.LYTF格式），应于提交响应文件截止时间前上传至临沂市公共资源交易电子交易系统。</w:t>
      </w:r>
    </w:p>
    <w:p>
      <w:pPr>
        <w:pStyle w:val="2"/>
        <w:spacing w:before="36" w:line="357" w:lineRule="auto"/>
        <w:ind w:right="222" w:firstLine="480"/>
        <w:rPr>
          <w:lang w:eastAsia="zh-CN"/>
        </w:rPr>
      </w:pPr>
      <w:r>
        <w:rPr>
          <w:lang w:eastAsia="zh-CN"/>
        </w:rPr>
        <w:t>14.1.2</w:t>
      </w:r>
      <w:r>
        <w:rPr>
          <w:spacing w:val="-4"/>
          <w:lang w:eastAsia="zh-CN"/>
        </w:rPr>
        <w:t>电子响应文件封面应由供应商加盖单位电子公章，响应文件指定位置应由供</w:t>
      </w:r>
      <w:r>
        <w:rPr>
          <w:lang w:eastAsia="zh-CN"/>
        </w:rPr>
        <w:t>应商法定代表人/负责人签章、加盖单位电子公章。</w:t>
      </w:r>
    </w:p>
    <w:p>
      <w:pPr>
        <w:pStyle w:val="2"/>
        <w:spacing w:before="34"/>
        <w:ind w:left="595" w:right="104"/>
        <w:rPr>
          <w:lang w:eastAsia="zh-CN"/>
        </w:rPr>
      </w:pPr>
      <w:r>
        <w:rPr>
          <w:lang w:eastAsia="zh-CN"/>
        </w:rPr>
        <w:t>14.1.3响应文件因字迹潦草、表达不清所引起的后果由供应商负责。</w:t>
      </w:r>
    </w:p>
    <w:p>
      <w:pPr>
        <w:rPr>
          <w:rFonts w:ascii="宋体" w:hAnsi="宋体" w:eastAsia="宋体" w:cs="宋体"/>
          <w:sz w:val="24"/>
          <w:szCs w:val="24"/>
          <w:lang w:eastAsia="zh-CN"/>
        </w:rPr>
      </w:pPr>
    </w:p>
    <w:p>
      <w:pPr>
        <w:pStyle w:val="8"/>
        <w:spacing w:before="182"/>
        <w:ind w:right="3297"/>
        <w:jc w:val="center"/>
        <w:rPr>
          <w:rFonts w:ascii="宋体" w:hAnsi="宋体" w:eastAsia="宋体" w:cs="宋体"/>
          <w:b/>
          <w:bCs/>
          <w:sz w:val="28"/>
          <w:szCs w:val="28"/>
          <w:lang w:eastAsia="zh-CN"/>
        </w:rPr>
      </w:pPr>
      <w:bookmarkStart w:id="19" w:name="四、响应文件的递交"/>
      <w:bookmarkEnd w:id="19"/>
      <w:r>
        <w:rPr>
          <w:lang w:eastAsia="zh-CN"/>
        </w:rPr>
        <w:t>四、响应文件的递交</w:t>
      </w:r>
    </w:p>
    <w:p>
      <w:pPr>
        <w:spacing w:before="9"/>
        <w:rPr>
          <w:rFonts w:ascii="宋体" w:hAnsi="宋体" w:eastAsia="宋体" w:cs="宋体"/>
          <w:b/>
          <w:bCs/>
          <w:sz w:val="21"/>
          <w:szCs w:val="21"/>
          <w:lang w:eastAsia="zh-CN"/>
        </w:rPr>
      </w:pPr>
    </w:p>
    <w:p>
      <w:pPr>
        <w:pStyle w:val="10"/>
        <w:spacing w:before="0"/>
        <w:ind w:right="91"/>
        <w:rPr>
          <w:b w:val="0"/>
          <w:bCs w:val="0"/>
          <w:lang w:eastAsia="zh-CN"/>
        </w:rPr>
      </w:pPr>
      <w:bookmarkStart w:id="20" w:name="15.响应文件的密封和标记"/>
      <w:bookmarkEnd w:id="20"/>
      <w:r>
        <w:rPr>
          <w:lang w:eastAsia="zh-CN"/>
        </w:rPr>
        <w:t>15.响应文件的密封和标记</w:t>
      </w:r>
    </w:p>
    <w:p>
      <w:pPr>
        <w:pStyle w:val="2"/>
        <w:ind w:left="595" w:right="91"/>
        <w:rPr>
          <w:lang w:eastAsia="zh-CN"/>
        </w:rPr>
      </w:pPr>
      <w:r>
        <w:rPr>
          <w:lang w:eastAsia="zh-CN"/>
        </w:rPr>
        <w:t>15.1电子标</w:t>
      </w:r>
    </w:p>
    <w:p>
      <w:pPr>
        <w:pStyle w:val="10"/>
        <w:spacing w:before="154" w:line="357" w:lineRule="auto"/>
        <w:ind w:left="115" w:right="122" w:firstLine="480"/>
        <w:rPr>
          <w:rFonts w:ascii="宋体" w:hAnsi="宋体" w:eastAsia="宋体"/>
          <w:lang w:val="en-US" w:eastAsia="zh-CN"/>
        </w:rPr>
      </w:pPr>
      <w:r>
        <w:rPr>
          <w:lang w:eastAsia="zh-CN"/>
        </w:rPr>
        <w:t>15.1.1项目实行电子响应文件，供应商无须提交纸质响应文件。</w:t>
      </w:r>
      <w:r>
        <w:rPr>
          <w:rFonts w:ascii="宋体" w:hAnsi="宋体" w:eastAsia="宋体"/>
          <w:lang w:eastAsia="zh-CN"/>
        </w:rPr>
        <w:t>供</w:t>
      </w:r>
      <w:r>
        <w:rPr>
          <w:rFonts w:ascii="宋体" w:hAnsi="宋体" w:eastAsia="宋体"/>
          <w:lang w:val="en-US" w:eastAsia="zh-CN"/>
        </w:rPr>
        <w:t>应商应按照本项目竞争性磋商文件的要求编制、加密并递交响应文件。供应商在使用系统进行响应文件的过程中遇到涉及平台使用的任何问题，可致电平台技术支持热线咨询，咨询电话0539-8770063。</w:t>
      </w:r>
    </w:p>
    <w:p>
      <w:pPr>
        <w:pStyle w:val="10"/>
        <w:spacing w:before="2"/>
        <w:ind w:right="95"/>
        <w:rPr>
          <w:b w:val="0"/>
          <w:bCs w:val="0"/>
          <w:lang w:eastAsia="zh-CN"/>
        </w:rPr>
      </w:pPr>
      <w:bookmarkStart w:id="21" w:name="16.响应文件截止"/>
      <w:bookmarkEnd w:id="21"/>
      <w:r>
        <w:rPr>
          <w:u w:val="single" w:color="000000"/>
          <w:lang w:eastAsia="zh-CN"/>
        </w:rPr>
        <w:t>16.响应文件截止</w:t>
      </w:r>
    </w:p>
    <w:p>
      <w:pPr>
        <w:pStyle w:val="2"/>
        <w:ind w:left="595" w:right="95"/>
        <w:rPr>
          <w:lang w:eastAsia="zh-CN"/>
        </w:rPr>
      </w:pPr>
      <w:r>
        <w:rPr>
          <w:lang w:eastAsia="zh-CN"/>
        </w:rPr>
        <w:t>16.1供应商递交响应文件的时间和地点：见</w:t>
      </w:r>
      <w:r>
        <w:rPr>
          <w:u w:val="single" w:color="000000"/>
          <w:lang w:eastAsia="zh-CN"/>
        </w:rPr>
        <w:t>供应商须知资料表</w:t>
      </w:r>
      <w:r>
        <w:rPr>
          <w:lang w:eastAsia="zh-CN"/>
        </w:rPr>
        <w:t>。</w:t>
      </w:r>
    </w:p>
    <w:p>
      <w:pPr>
        <w:pStyle w:val="2"/>
        <w:spacing w:before="151" w:line="357" w:lineRule="auto"/>
        <w:ind w:right="371" w:firstLine="480"/>
        <w:rPr>
          <w:lang w:eastAsia="zh-CN"/>
        </w:rPr>
      </w:pPr>
      <w:r>
        <w:rPr>
          <w:lang w:eastAsia="zh-CN"/>
        </w:rPr>
        <w:t>16.2采购人和采购代理机构将拒绝接收在提交响应文件截止时间后递交的响应文件。</w:t>
      </w:r>
    </w:p>
    <w:p>
      <w:pPr>
        <w:pStyle w:val="2"/>
        <w:spacing w:before="34"/>
        <w:ind w:left="595" w:right="95"/>
        <w:rPr>
          <w:lang w:eastAsia="zh-CN"/>
        </w:rPr>
      </w:pPr>
      <w:r>
        <w:rPr>
          <w:lang w:eastAsia="zh-CN"/>
        </w:rPr>
        <w:t>16.3供应商所递交的响应文件不予退还。</w:t>
      </w:r>
    </w:p>
    <w:p>
      <w:pPr>
        <w:pStyle w:val="10"/>
        <w:spacing w:before="200"/>
        <w:ind w:right="95"/>
        <w:rPr>
          <w:b w:val="0"/>
          <w:bCs w:val="0"/>
          <w:lang w:eastAsia="zh-CN"/>
        </w:rPr>
      </w:pPr>
      <w:bookmarkStart w:id="22" w:name="17.响应文件的接收、修改与撤回"/>
      <w:bookmarkEnd w:id="22"/>
      <w:r>
        <w:rPr>
          <w:u w:val="single" w:color="000000"/>
          <w:lang w:eastAsia="zh-CN"/>
        </w:rPr>
        <w:t>17.响应文件的接收、修改与撤回</w:t>
      </w:r>
    </w:p>
    <w:p>
      <w:pPr>
        <w:spacing w:before="10"/>
        <w:rPr>
          <w:rFonts w:ascii="宋体" w:hAnsi="宋体" w:eastAsia="宋体" w:cs="宋体"/>
          <w:b/>
          <w:bCs/>
          <w:sz w:val="18"/>
          <w:szCs w:val="18"/>
          <w:lang w:eastAsia="zh-CN"/>
        </w:rPr>
      </w:pPr>
    </w:p>
    <w:p>
      <w:pPr>
        <w:pStyle w:val="2"/>
        <w:spacing w:before="26"/>
        <w:ind w:left="595" w:right="95"/>
        <w:rPr>
          <w:lang w:eastAsia="zh-CN"/>
        </w:rPr>
      </w:pPr>
      <w:r>
        <w:rPr>
          <w:lang w:eastAsia="zh-CN"/>
        </w:rPr>
        <w:t>17.1电子标</w:t>
      </w:r>
    </w:p>
    <w:p>
      <w:pPr>
        <w:pStyle w:val="2"/>
        <w:ind w:left="595" w:right="95"/>
        <w:rPr>
          <w:lang w:eastAsia="zh-CN"/>
        </w:rPr>
      </w:pPr>
      <w:r>
        <w:rPr>
          <w:lang w:eastAsia="zh-CN"/>
        </w:rPr>
        <w:t>17.1.1采购人或采购代理机构将按竞争性磋商文件的规定接收响应文件。</w:t>
      </w:r>
    </w:p>
    <w:p>
      <w:pPr>
        <w:pStyle w:val="2"/>
        <w:spacing w:line="355" w:lineRule="auto"/>
        <w:ind w:right="242" w:firstLine="480"/>
        <w:rPr>
          <w:lang w:eastAsia="zh-CN"/>
        </w:rPr>
      </w:pPr>
      <w:r>
        <w:rPr>
          <w:lang w:eastAsia="zh-CN"/>
        </w:rPr>
        <w:t>17.1.2</w:t>
      </w:r>
      <w:r>
        <w:rPr>
          <w:spacing w:val="-4"/>
          <w:lang w:eastAsia="zh-CN"/>
        </w:rPr>
        <w:t>采购人或采购代理机构收到响应文件后，将记载响应文件的递交时间和密封</w:t>
      </w:r>
      <w:r>
        <w:rPr>
          <w:lang w:eastAsia="zh-CN"/>
        </w:rPr>
        <w:t>情况，在</w:t>
      </w:r>
      <w:r>
        <w:rPr>
          <w:u w:val="single" w:color="000000"/>
          <w:lang w:eastAsia="zh-CN"/>
        </w:rPr>
        <w:t>临沂市公共资源</w:t>
      </w:r>
      <w:r>
        <w:rPr>
          <w:lang w:eastAsia="zh-CN"/>
        </w:rPr>
        <w:t>电子交易系统中生成回执，供应商自行查看、打印。</w:t>
      </w:r>
    </w:p>
    <w:p>
      <w:pPr>
        <w:pStyle w:val="2"/>
        <w:spacing w:before="36" w:line="357" w:lineRule="auto"/>
        <w:ind w:right="243" w:firstLine="480"/>
        <w:rPr>
          <w:lang w:eastAsia="zh-CN"/>
        </w:rPr>
      </w:pPr>
      <w:r>
        <w:rPr>
          <w:lang w:eastAsia="zh-CN"/>
        </w:rPr>
        <w:t>17.1.3</w:t>
      </w:r>
      <w:r>
        <w:rPr>
          <w:spacing w:val="-4"/>
          <w:lang w:eastAsia="zh-CN"/>
        </w:rPr>
        <w:t>递交响应文件以后，如果供应商要进行撤回的，须在提交响应文件截止时间</w:t>
      </w:r>
      <w:r>
        <w:rPr>
          <w:lang w:eastAsia="zh-CN"/>
        </w:rPr>
        <w:t>前在</w:t>
      </w:r>
      <w:r>
        <w:rPr>
          <w:u w:val="single" w:color="000000"/>
          <w:lang w:eastAsia="zh-CN"/>
        </w:rPr>
        <w:t>临沂市公共资源</w:t>
      </w:r>
      <w:r>
        <w:rPr>
          <w:lang w:eastAsia="zh-CN"/>
        </w:rPr>
        <w:t>电子交易系统中进行撤回。</w:t>
      </w:r>
    </w:p>
    <w:p>
      <w:pPr>
        <w:pStyle w:val="2"/>
        <w:spacing w:before="36" w:line="357" w:lineRule="auto"/>
        <w:ind w:right="95" w:firstLine="480"/>
        <w:rPr>
          <w:lang w:eastAsia="zh-CN"/>
        </w:rPr>
      </w:pPr>
      <w:r>
        <w:rPr>
          <w:lang w:eastAsia="zh-CN"/>
        </w:rPr>
        <w:t>17.1.4如果在提交响应文件截止时间前需要对已经成功生成并上传</w:t>
      </w:r>
      <w:r>
        <w:rPr>
          <w:u w:val="single" w:color="000000"/>
          <w:lang w:eastAsia="zh-CN"/>
        </w:rPr>
        <w:t>临沂市公共资</w:t>
      </w:r>
      <w:r>
        <w:rPr>
          <w:spacing w:val="-2"/>
          <w:u w:val="single" w:color="000000"/>
          <w:lang w:eastAsia="zh-CN"/>
        </w:rPr>
        <w:t>源</w:t>
      </w:r>
      <w:r>
        <w:rPr>
          <w:spacing w:val="-2"/>
          <w:lang w:eastAsia="zh-CN"/>
        </w:rPr>
        <w:t>电子交易系统的电子响应文件进行修改、补充的，供应商应当先撤回原文件，使用自备计算机和响应文件制作软件重新制作生成新的电子响应文件，并在提交响应文件截止</w:t>
      </w:r>
      <w:r>
        <w:rPr>
          <w:lang w:eastAsia="zh-CN"/>
        </w:rPr>
        <w:t>时间前重新上传。</w:t>
      </w:r>
    </w:p>
    <w:p>
      <w:pPr>
        <w:pStyle w:val="2"/>
        <w:spacing w:before="36"/>
        <w:ind w:left="595" w:right="95"/>
        <w:rPr>
          <w:lang w:eastAsia="zh-CN"/>
        </w:rPr>
      </w:pPr>
      <w:r>
        <w:rPr>
          <w:lang w:eastAsia="zh-CN"/>
        </w:rPr>
        <w:t>17.1.5在提交响应文件截止时间之后，供应商不得对其响应文件做任何修改。</w:t>
      </w:r>
    </w:p>
    <w:p>
      <w:pPr>
        <w:spacing w:before="10"/>
        <w:rPr>
          <w:rFonts w:ascii="宋体" w:hAnsi="宋体" w:eastAsia="宋体" w:cs="宋体"/>
          <w:sz w:val="20"/>
          <w:szCs w:val="20"/>
          <w:lang w:eastAsia="zh-CN"/>
        </w:rPr>
      </w:pPr>
    </w:p>
    <w:p>
      <w:pPr>
        <w:spacing w:before="14"/>
        <w:ind w:left="2840" w:right="95"/>
        <w:rPr>
          <w:rFonts w:ascii="宋体" w:hAnsi="宋体" w:eastAsia="宋体" w:cs="宋体"/>
          <w:sz w:val="28"/>
          <w:szCs w:val="28"/>
          <w:lang w:eastAsia="zh-CN"/>
        </w:rPr>
      </w:pPr>
      <w:bookmarkStart w:id="23" w:name="五、提交响应文件截止及磋商"/>
      <w:bookmarkEnd w:id="23"/>
      <w:r>
        <w:rPr>
          <w:rFonts w:ascii="宋体" w:hAnsi="宋体" w:eastAsia="宋体" w:cs="宋体"/>
          <w:b/>
          <w:bCs/>
          <w:sz w:val="28"/>
          <w:szCs w:val="28"/>
          <w:lang w:eastAsia="zh-CN"/>
        </w:rPr>
        <w:t>五、提交响应文件截止及磋商</w:t>
      </w:r>
    </w:p>
    <w:p>
      <w:pPr>
        <w:spacing w:before="8"/>
        <w:rPr>
          <w:rFonts w:ascii="宋体" w:hAnsi="宋体" w:eastAsia="宋体" w:cs="宋体"/>
          <w:b/>
          <w:bCs/>
          <w:sz w:val="41"/>
          <w:szCs w:val="41"/>
          <w:lang w:eastAsia="zh-CN"/>
        </w:rPr>
      </w:pPr>
    </w:p>
    <w:p>
      <w:pPr>
        <w:ind w:left="595" w:right="95"/>
        <w:rPr>
          <w:rFonts w:ascii="宋体" w:hAnsi="宋体" w:eastAsia="宋体" w:cs="宋体"/>
          <w:sz w:val="24"/>
          <w:szCs w:val="24"/>
          <w:lang w:eastAsia="zh-CN"/>
        </w:rPr>
      </w:pPr>
      <w:bookmarkStart w:id="24" w:name="18.提交响应文件截止"/>
      <w:bookmarkEnd w:id="24"/>
      <w:r>
        <w:rPr>
          <w:rFonts w:ascii="宋体" w:hAnsi="宋体" w:eastAsia="宋体" w:cs="宋体"/>
          <w:b/>
          <w:bCs/>
          <w:sz w:val="24"/>
          <w:szCs w:val="24"/>
          <w:lang w:eastAsia="zh-CN"/>
        </w:rPr>
        <w:t>18.提交响应文件截止</w:t>
      </w:r>
    </w:p>
    <w:p>
      <w:pPr>
        <w:spacing w:before="12"/>
        <w:rPr>
          <w:rFonts w:ascii="宋体" w:hAnsi="宋体" w:eastAsia="宋体" w:cs="宋体"/>
          <w:b/>
          <w:bCs/>
          <w:sz w:val="20"/>
          <w:szCs w:val="20"/>
          <w:lang w:eastAsia="zh-CN"/>
        </w:rPr>
      </w:pPr>
    </w:p>
    <w:p>
      <w:pPr>
        <w:pStyle w:val="2"/>
        <w:spacing w:before="0"/>
        <w:ind w:left="595" w:right="95"/>
        <w:rPr>
          <w:lang w:eastAsia="zh-CN"/>
        </w:rPr>
      </w:pPr>
      <w:r>
        <w:rPr>
          <w:lang w:eastAsia="zh-CN"/>
        </w:rPr>
        <w:t>18.1电子标</w:t>
      </w:r>
    </w:p>
    <w:p>
      <w:pPr>
        <w:pStyle w:val="2"/>
        <w:spacing w:before="151" w:line="357" w:lineRule="auto"/>
        <w:ind w:right="95" w:firstLine="480"/>
        <w:rPr>
          <w:lang w:eastAsia="zh-CN"/>
        </w:rPr>
      </w:pPr>
      <w:r>
        <w:rPr>
          <w:lang w:eastAsia="zh-CN"/>
        </w:rPr>
        <w:t>18.1.1采购人和采购代理机构将按</w:t>
      </w:r>
      <w:r>
        <w:rPr>
          <w:u w:val="single" w:color="000000"/>
          <w:lang w:eastAsia="zh-CN"/>
        </w:rPr>
        <w:t>响应文件须知资料表</w:t>
      </w:r>
      <w:r>
        <w:rPr>
          <w:lang w:eastAsia="zh-CN"/>
        </w:rPr>
        <w:t>规定的提交响应文件截止</w:t>
      </w:r>
      <w:r>
        <w:rPr>
          <w:spacing w:val="-2"/>
          <w:lang w:eastAsia="zh-CN"/>
        </w:rPr>
        <w:t>时间和地点组织提交响应文件截止并邀请所有供应商代表参加，提交响应文件截止过程</w:t>
      </w:r>
      <w:r>
        <w:rPr>
          <w:lang w:eastAsia="zh-CN"/>
        </w:rPr>
        <w:t>同时在</w:t>
      </w:r>
      <w:r>
        <w:rPr>
          <w:rFonts w:cs="宋体"/>
          <w:b/>
          <w:bCs/>
          <w:u w:val="single" w:color="auto"/>
          <w:lang w:eastAsia="zh-CN"/>
        </w:rPr>
        <w:t>临沂市公共资源电子交易系统</w:t>
      </w:r>
      <w:r>
        <w:rPr>
          <w:lang w:eastAsia="zh-CN"/>
        </w:rPr>
        <w:t>上进行。</w:t>
      </w:r>
    </w:p>
    <w:p>
      <w:pPr>
        <w:pStyle w:val="2"/>
        <w:spacing w:before="36"/>
        <w:ind w:left="595" w:right="95"/>
        <w:rPr>
          <w:lang w:eastAsia="zh-CN"/>
        </w:rPr>
      </w:pPr>
      <w:r>
        <w:rPr>
          <w:lang w:eastAsia="zh-CN"/>
        </w:rPr>
        <w:t>供应商不足3家的，不得提交响应文件截止。</w:t>
      </w:r>
    </w:p>
    <w:p>
      <w:pPr>
        <w:spacing w:before="151" w:line="357" w:lineRule="auto"/>
        <w:ind w:left="115" w:right="169" w:firstLine="240"/>
        <w:jc w:val="both"/>
        <w:rPr>
          <w:rFonts w:ascii="宋体" w:hAnsi="宋体" w:eastAsia="宋体" w:cs="宋体"/>
          <w:sz w:val="24"/>
          <w:szCs w:val="24"/>
          <w:lang w:eastAsia="zh-CN"/>
        </w:rPr>
      </w:pPr>
      <w:r>
        <w:rPr>
          <w:rFonts w:ascii="宋体" w:hAnsi="宋体" w:eastAsia="宋体" w:cs="宋体"/>
          <w:sz w:val="24"/>
          <w:szCs w:val="24"/>
          <w:lang w:eastAsia="zh-CN"/>
        </w:rPr>
        <w:t>18.1.2提交响应文件截止时，工作人员在</w:t>
      </w:r>
      <w:r>
        <w:rPr>
          <w:rFonts w:ascii="宋体" w:hAnsi="宋体" w:eastAsia="宋体" w:cs="宋体"/>
          <w:b/>
          <w:bCs/>
          <w:spacing w:val="-3"/>
          <w:w w:val="99"/>
          <w:sz w:val="24"/>
          <w:szCs w:val="24"/>
          <w:u w:val="single" w:color="auto"/>
          <w:lang w:eastAsia="zh-CN"/>
        </w:rPr>
        <w:t>临沂市公共资源电子交易系统</w:t>
      </w:r>
      <w:r>
        <w:rPr>
          <w:rFonts w:ascii="宋体" w:hAnsi="宋体" w:eastAsia="宋体" w:cs="宋体"/>
          <w:sz w:val="24"/>
          <w:szCs w:val="24"/>
          <w:lang w:eastAsia="zh-CN"/>
        </w:rPr>
        <w:t>中公布供应商后，</w:t>
      </w:r>
      <w:r>
        <w:rPr>
          <w:rFonts w:ascii="宋体" w:hAnsi="宋体" w:eastAsia="宋体" w:cs="宋体"/>
          <w:b/>
          <w:bCs/>
          <w:sz w:val="24"/>
          <w:szCs w:val="24"/>
          <w:lang w:eastAsia="zh-CN"/>
        </w:rPr>
        <w:t>由供应商自行在电子系统中进行响应文件解密</w:t>
      </w:r>
      <w:r>
        <w:rPr>
          <w:rFonts w:ascii="宋体" w:hAnsi="宋体" w:eastAsia="宋体" w:cs="宋体"/>
          <w:sz w:val="24"/>
          <w:szCs w:val="24"/>
          <w:lang w:eastAsia="zh-CN"/>
        </w:rPr>
        <w:t>，解密完成后，系统予以公开唱标，报价以系统开标记录表为准。</w:t>
      </w:r>
    </w:p>
    <w:p>
      <w:pPr>
        <w:pStyle w:val="2"/>
        <w:spacing w:before="36"/>
        <w:ind w:right="95"/>
        <w:rPr>
          <w:lang w:eastAsia="zh-CN"/>
        </w:rPr>
      </w:pPr>
      <w:r>
        <w:rPr>
          <w:lang w:eastAsia="zh-CN"/>
        </w:rPr>
        <w:t>未能成功解密或未进行解密的响应文件将被退回。</w:t>
      </w:r>
    </w:p>
    <w:p>
      <w:pPr>
        <w:pStyle w:val="2"/>
        <w:ind w:left="595" w:right="95"/>
        <w:rPr>
          <w:lang w:eastAsia="zh-CN"/>
        </w:rPr>
      </w:pPr>
      <w:r>
        <w:rPr>
          <w:lang w:eastAsia="zh-CN"/>
        </w:rPr>
        <w:t>18.1.3采购代理机构将对提交响应文件截止过程进行记录，并存档备查。</w:t>
      </w:r>
    </w:p>
    <w:p>
      <w:pPr>
        <w:pStyle w:val="2"/>
        <w:spacing w:before="151" w:line="355" w:lineRule="auto"/>
        <w:ind w:right="243" w:firstLine="480"/>
        <w:rPr>
          <w:lang w:eastAsia="zh-CN"/>
        </w:rPr>
      </w:pPr>
      <w:r>
        <w:rPr>
          <w:lang w:eastAsia="zh-CN"/>
        </w:rPr>
        <w:t>18.1.4</w:t>
      </w:r>
      <w:r>
        <w:rPr>
          <w:spacing w:val="-4"/>
          <w:lang w:eastAsia="zh-CN"/>
        </w:rPr>
        <w:t>供应商代表对开标过程和开标记录有疑义，以及认为采购人、采购代理机构</w:t>
      </w:r>
      <w:r>
        <w:rPr>
          <w:lang w:eastAsia="zh-CN"/>
        </w:rPr>
        <w:t>相关工作人员需要回避情形的，应当场提出询问或者回避申请。</w:t>
      </w:r>
    </w:p>
    <w:p>
      <w:pPr>
        <w:ind w:left="595" w:right="95"/>
        <w:rPr>
          <w:rFonts w:ascii="宋体" w:hAnsi="宋体" w:eastAsia="宋体" w:cs="宋体"/>
          <w:sz w:val="24"/>
          <w:szCs w:val="24"/>
          <w:lang w:eastAsia="zh-CN"/>
        </w:rPr>
      </w:pPr>
      <w:bookmarkStart w:id="25" w:name="19.磋商小组"/>
      <w:bookmarkEnd w:id="25"/>
      <w:r>
        <w:rPr>
          <w:rFonts w:ascii="宋体" w:hAnsi="宋体" w:eastAsia="宋体" w:cs="宋体"/>
          <w:b/>
          <w:bCs/>
          <w:sz w:val="24"/>
          <w:szCs w:val="24"/>
          <w:u w:val="single" w:color="000000"/>
          <w:lang w:eastAsia="zh-CN"/>
        </w:rPr>
        <w:t>19.磋商小组</w:t>
      </w:r>
    </w:p>
    <w:p>
      <w:pPr>
        <w:spacing w:before="12"/>
        <w:rPr>
          <w:rFonts w:ascii="宋体" w:hAnsi="宋体" w:eastAsia="宋体" w:cs="宋体"/>
          <w:b/>
          <w:bCs/>
          <w:sz w:val="18"/>
          <w:szCs w:val="18"/>
          <w:lang w:eastAsia="zh-CN"/>
        </w:rPr>
      </w:pPr>
    </w:p>
    <w:p>
      <w:pPr>
        <w:pStyle w:val="2"/>
        <w:spacing w:before="151" w:line="355" w:lineRule="auto"/>
        <w:ind w:right="243" w:firstLine="480"/>
        <w:rPr>
          <w:lang w:eastAsia="zh-CN"/>
        </w:rPr>
      </w:pPr>
      <w:r>
        <w:rPr>
          <w:lang w:eastAsia="zh-CN"/>
        </w:rPr>
        <w:t>19.1采购代理机构将按照《中华人民共和国政府采购法》及有关规定组建磋商小组。磋商小组由采购人代表及有关经济、技术等方面的专家3人以上单数组成。</w:t>
      </w:r>
    </w:p>
    <w:p>
      <w:pPr>
        <w:pStyle w:val="2"/>
        <w:spacing w:before="151" w:line="355" w:lineRule="auto"/>
        <w:ind w:right="243" w:firstLine="480"/>
        <w:rPr>
          <w:lang w:eastAsia="zh-CN"/>
        </w:rPr>
      </w:pPr>
      <w:r>
        <w:rPr>
          <w:lang w:eastAsia="zh-CN"/>
        </w:rPr>
        <w:t>19.2磋商小组具有依据磋商文件进行独立评审的权力，且不受外界任何因素的干扰。磋商小组成员需对评审结果独立写出评审意见，并承担责任。评委成员若拒绝在评审报告上签字且不陈述其不同意理由的，视为同意和接受。</w:t>
      </w:r>
    </w:p>
    <w:p>
      <w:pPr>
        <w:pStyle w:val="2"/>
        <w:spacing w:before="34"/>
        <w:ind w:left="595" w:right="91"/>
        <w:rPr>
          <w:lang w:eastAsia="zh-CN"/>
        </w:rPr>
      </w:pPr>
      <w:r>
        <w:rPr>
          <w:lang w:eastAsia="zh-CN"/>
        </w:rPr>
        <w:t>19.3磋商小组的职责：</w:t>
      </w:r>
    </w:p>
    <w:p>
      <w:pPr>
        <w:pStyle w:val="2"/>
        <w:ind w:left="595" w:right="91"/>
        <w:rPr>
          <w:lang w:eastAsia="zh-CN"/>
        </w:rPr>
      </w:pPr>
      <w:r>
        <w:rPr>
          <w:lang w:eastAsia="zh-CN"/>
        </w:rPr>
        <w:t>（1）审查响应文件是否符合磋商文件要求；</w:t>
      </w:r>
    </w:p>
    <w:p>
      <w:pPr>
        <w:pStyle w:val="2"/>
        <w:spacing w:before="151"/>
        <w:ind w:left="595" w:right="91"/>
        <w:rPr>
          <w:lang w:eastAsia="zh-CN"/>
        </w:rPr>
      </w:pPr>
      <w:r>
        <w:rPr>
          <w:lang w:eastAsia="zh-CN"/>
        </w:rPr>
        <w:t>（2）要求供应商对响应文件有关事项做出解释或者澄清；</w:t>
      </w:r>
    </w:p>
    <w:p>
      <w:pPr>
        <w:pStyle w:val="2"/>
        <w:ind w:left="595" w:right="91"/>
        <w:rPr>
          <w:lang w:eastAsia="zh-CN"/>
        </w:rPr>
      </w:pPr>
      <w:r>
        <w:rPr>
          <w:lang w:eastAsia="zh-CN"/>
        </w:rPr>
        <w:t>（3）按照磋商文件规定的评分标准进行评比和打分；</w:t>
      </w:r>
    </w:p>
    <w:p>
      <w:pPr>
        <w:pStyle w:val="2"/>
        <w:spacing w:before="151" w:line="357" w:lineRule="auto"/>
        <w:ind w:right="91" w:firstLine="480"/>
        <w:rPr>
          <w:lang w:eastAsia="zh-CN"/>
        </w:rPr>
      </w:pPr>
      <w:r>
        <w:rPr>
          <w:lang w:eastAsia="zh-CN"/>
        </w:rPr>
        <w:t>（4）推荐成交候选供应商名单，或者受采购人委托按照事先确定的办法直接确定成交供应商；</w:t>
      </w:r>
    </w:p>
    <w:p>
      <w:pPr>
        <w:pStyle w:val="2"/>
        <w:spacing w:before="36" w:line="355" w:lineRule="auto"/>
        <w:ind w:left="595" w:right="2131"/>
        <w:rPr>
          <w:lang w:eastAsia="zh-CN"/>
        </w:rPr>
      </w:pPr>
      <w:r>
        <w:rPr>
          <w:lang w:eastAsia="zh-CN"/>
        </w:rPr>
        <w:t>（5）向采购单位或者有关部门报告非法干预评审工作的行为。19.4磋商小组的义务：</w:t>
      </w:r>
    </w:p>
    <w:p>
      <w:pPr>
        <w:pStyle w:val="2"/>
        <w:spacing w:before="36"/>
        <w:ind w:left="595" w:right="91"/>
        <w:rPr>
          <w:lang w:eastAsia="zh-CN"/>
        </w:rPr>
      </w:pPr>
      <w:r>
        <w:rPr>
          <w:lang w:eastAsia="zh-CN"/>
        </w:rPr>
        <w:t>（1）遵纪守法，客观、公正、廉洁地履行职责；</w:t>
      </w:r>
    </w:p>
    <w:p>
      <w:pPr>
        <w:pStyle w:val="2"/>
        <w:spacing w:line="357" w:lineRule="auto"/>
        <w:ind w:right="91" w:firstLine="480"/>
        <w:rPr>
          <w:lang w:eastAsia="zh-CN"/>
        </w:rPr>
      </w:pPr>
      <w:r>
        <w:rPr>
          <w:lang w:eastAsia="zh-CN"/>
        </w:rPr>
        <w:t>（2）按照磋商文件规定的评审办法和评审标准进行评审，对评审意见承担个人责任；</w:t>
      </w:r>
    </w:p>
    <w:p>
      <w:pPr>
        <w:pStyle w:val="2"/>
        <w:spacing w:before="34"/>
        <w:ind w:left="595" w:right="91"/>
        <w:rPr>
          <w:lang w:eastAsia="zh-CN"/>
        </w:rPr>
      </w:pPr>
      <w:r>
        <w:rPr>
          <w:lang w:eastAsia="zh-CN"/>
        </w:rPr>
        <w:t>（3）对评审过程和结果，以及供应商的商业秘密保密；</w:t>
      </w:r>
    </w:p>
    <w:p>
      <w:pPr>
        <w:pStyle w:val="2"/>
        <w:ind w:left="595" w:right="91"/>
        <w:rPr>
          <w:lang w:eastAsia="zh-CN"/>
        </w:rPr>
      </w:pPr>
      <w:r>
        <w:rPr>
          <w:lang w:eastAsia="zh-CN"/>
        </w:rPr>
        <w:t>（4）参与评审报告的起草；</w:t>
      </w:r>
    </w:p>
    <w:p>
      <w:pPr>
        <w:pStyle w:val="2"/>
        <w:spacing w:before="151"/>
        <w:ind w:left="595" w:right="91"/>
        <w:rPr>
          <w:lang w:eastAsia="zh-CN"/>
        </w:rPr>
      </w:pPr>
      <w:r>
        <w:rPr>
          <w:lang w:eastAsia="zh-CN"/>
        </w:rPr>
        <w:t>（5）配合财政部门的投诉处理工作；</w:t>
      </w:r>
    </w:p>
    <w:p>
      <w:pPr>
        <w:spacing w:before="154" w:line="355" w:lineRule="auto"/>
        <w:ind w:left="595" w:right="3571"/>
        <w:rPr>
          <w:rFonts w:ascii="宋体" w:hAnsi="宋体" w:eastAsia="宋体" w:cs="宋体"/>
          <w:sz w:val="24"/>
          <w:szCs w:val="24"/>
          <w:lang w:eastAsia="zh-CN"/>
        </w:rPr>
      </w:pPr>
      <w:r>
        <w:rPr>
          <w:rFonts w:ascii="宋体" w:hAnsi="宋体" w:eastAsia="宋体" w:cs="宋体"/>
          <w:sz w:val="24"/>
          <w:szCs w:val="24"/>
          <w:lang w:eastAsia="zh-CN"/>
        </w:rPr>
        <w:t>（6）配合采购单位答复与会供应商提出的质疑。</w:t>
      </w:r>
      <w:bookmarkStart w:id="26" w:name="20.资格审查"/>
      <w:bookmarkEnd w:id="26"/>
      <w:r>
        <w:rPr>
          <w:rFonts w:ascii="宋体" w:hAnsi="宋体" w:eastAsia="宋体" w:cs="宋体"/>
          <w:b/>
          <w:bCs/>
          <w:sz w:val="24"/>
          <w:szCs w:val="24"/>
          <w:lang w:eastAsia="zh-CN"/>
        </w:rPr>
        <w:t>20.资格审查</w:t>
      </w:r>
    </w:p>
    <w:p>
      <w:pPr>
        <w:pStyle w:val="2"/>
        <w:spacing w:before="38"/>
        <w:ind w:left="595" w:right="91"/>
        <w:rPr>
          <w:lang w:eastAsia="zh-CN"/>
        </w:rPr>
      </w:pPr>
      <w:r>
        <w:rPr>
          <w:lang w:eastAsia="zh-CN"/>
        </w:rPr>
        <w:t>20.1磋商小组依据法律法规和竞争性磋商文件中规定的内容</w:t>
      </w:r>
      <w:r>
        <w:rPr>
          <w:spacing w:val="-108"/>
          <w:lang w:eastAsia="zh-CN"/>
        </w:rPr>
        <w:t>，</w:t>
      </w:r>
      <w:r>
        <w:rPr>
          <w:lang w:eastAsia="zh-CN"/>
        </w:rPr>
        <w:t>对供应商的资格进行</w:t>
      </w:r>
    </w:p>
    <w:p>
      <w:pPr>
        <w:pStyle w:val="2"/>
        <w:spacing w:before="151" w:line="357" w:lineRule="auto"/>
        <w:ind w:right="139"/>
        <w:rPr>
          <w:rFonts w:cs="宋体"/>
          <w:lang w:eastAsia="zh-CN"/>
        </w:rPr>
      </w:pPr>
      <w:r>
        <w:rPr>
          <w:lang w:eastAsia="zh-CN"/>
        </w:rPr>
        <w:t>审查。未通过资格审查的供应商不进入磋商；通过资格审查的供应商不足3</w:t>
      </w:r>
      <w:r>
        <w:rPr>
          <w:spacing w:val="-4"/>
          <w:lang w:eastAsia="zh-CN"/>
        </w:rPr>
        <w:t>家的，不得</w:t>
      </w:r>
      <w:r>
        <w:rPr>
          <w:lang w:eastAsia="zh-CN"/>
        </w:rPr>
        <w:t>磋商。</w:t>
      </w:r>
      <w:bookmarkStart w:id="27" w:name="21.响应文件符合性审查与澄清"/>
      <w:bookmarkEnd w:id="27"/>
    </w:p>
    <w:p>
      <w:pPr>
        <w:pStyle w:val="2"/>
        <w:spacing w:before="2" w:line="357" w:lineRule="auto"/>
        <w:ind w:right="231" w:firstLine="482" w:firstLineChars="200"/>
        <w:rPr>
          <w:rFonts w:ascii="宋体" w:hAnsi="宋体" w:eastAsia="宋体" w:cs="宋体"/>
          <w:b/>
          <w:bCs/>
          <w:sz w:val="24"/>
          <w:szCs w:val="24"/>
          <w:lang w:val="en-US" w:eastAsia="zh-CN" w:bidi="ar-SA"/>
        </w:rPr>
      </w:pPr>
      <w:r>
        <w:rPr>
          <w:rFonts w:ascii="宋体" w:hAnsi="宋体" w:eastAsia="宋体" w:cs="宋体"/>
          <w:b/>
          <w:bCs/>
          <w:sz w:val="24"/>
          <w:szCs w:val="24"/>
          <w:lang w:val="en-US" w:eastAsia="zh-CN" w:bidi="ar-SA"/>
        </w:rPr>
        <w:t>21.响应文件符合性审查与澄清</w:t>
      </w:r>
    </w:p>
    <w:p>
      <w:pPr>
        <w:keepNext w:val="0"/>
        <w:keepLines w:val="0"/>
        <w:pageBreakBefore w:val="0"/>
        <w:widowControl w:val="0"/>
        <w:tabs>
          <w:tab w:val="left" w:pos="720"/>
        </w:tabs>
        <w:kinsoku/>
        <w:wordWrap/>
        <w:overflowPunct/>
        <w:topLinePunct/>
        <w:autoSpaceDE/>
        <w:autoSpaceDN/>
        <w:bidi w:val="0"/>
        <w:adjustRightInd/>
        <w:snapToGrid/>
        <w:spacing w:line="480" w:lineRule="exact"/>
        <w:ind w:firstLine="480" w:firstLineChars="200"/>
        <w:jc w:val="left"/>
        <w:textAlignment w:val="auto"/>
        <w:outlineLvl w:val="0"/>
        <w:rPr>
          <w:highlight w:val="none"/>
          <w:lang w:eastAsia="zh-CN"/>
        </w:rPr>
      </w:pPr>
      <w:r>
        <w:rPr>
          <w:sz w:val="24"/>
          <w:szCs w:val="24"/>
          <w:lang w:eastAsia="zh-CN"/>
        </w:rPr>
        <w:t>21.1</w:t>
      </w:r>
      <w:r>
        <w:rPr>
          <w:spacing w:val="-4"/>
          <w:sz w:val="24"/>
          <w:szCs w:val="24"/>
          <w:lang w:eastAsia="zh-CN"/>
        </w:rPr>
        <w:t>符合性审查是指依据竞争性磋商文件的规定，从响应文件的有效性、完整性和</w:t>
      </w:r>
      <w:r>
        <w:rPr>
          <w:spacing w:val="-2"/>
          <w:sz w:val="24"/>
          <w:szCs w:val="24"/>
          <w:lang w:eastAsia="zh-CN"/>
        </w:rPr>
        <w:t>响应程度对竞争性磋商文件的响应程度进行审查，以确定是否对竞争性磋商文件的实质</w:t>
      </w:r>
      <w:r>
        <w:rPr>
          <w:sz w:val="24"/>
          <w:szCs w:val="24"/>
          <w:lang w:eastAsia="zh-CN"/>
        </w:rPr>
        <w:t>性要求做出响应</w:t>
      </w:r>
      <w:r>
        <w:rPr>
          <w:rFonts w:hint="eastAsia"/>
          <w:sz w:val="24"/>
          <w:szCs w:val="24"/>
          <w:lang w:eastAsia="zh-CN"/>
        </w:rPr>
        <w:t>，</w:t>
      </w:r>
      <w:r>
        <w:rPr>
          <w:rFonts w:hint="eastAsia" w:ascii="宋体" w:hAnsi="宋体" w:cs="宋体"/>
          <w:b/>
          <w:bCs/>
          <w:sz w:val="24"/>
          <w:szCs w:val="24"/>
        </w:rPr>
        <w:t>符合性审查主要包括：</w:t>
      </w:r>
      <w:r>
        <w:rPr>
          <w:rFonts w:hint="eastAsia" w:ascii="宋体" w:hAnsi="宋体" w:cs="宋体"/>
          <w:b/>
          <w:bCs/>
          <w:sz w:val="24"/>
          <w:szCs w:val="24"/>
          <w:highlight w:val="none"/>
        </w:rPr>
        <w:t>①投标人报价是否</w:t>
      </w:r>
      <w:r>
        <w:rPr>
          <w:rFonts w:hint="eastAsia" w:hAnsi="宋体"/>
          <w:b/>
          <w:bCs/>
          <w:spacing w:val="6"/>
          <w:sz w:val="24"/>
          <w:szCs w:val="24"/>
          <w:highlight w:val="none"/>
        </w:rPr>
        <w:t>超出采购预算或最高限价</w:t>
      </w:r>
      <w:r>
        <w:rPr>
          <w:rFonts w:hint="eastAsia" w:hAnsi="宋体" w:eastAsia="宋体"/>
          <w:b/>
          <w:bCs/>
          <w:spacing w:val="6"/>
          <w:sz w:val="24"/>
          <w:szCs w:val="24"/>
          <w:highlight w:val="none"/>
          <w:lang w:eastAsia="zh-CN"/>
        </w:rPr>
        <w:t>。</w:t>
      </w:r>
      <w:r>
        <w:rPr>
          <w:rFonts w:hint="eastAsia" w:hAnsi="宋体"/>
          <w:b/>
          <w:bCs/>
          <w:spacing w:val="6"/>
          <w:sz w:val="24"/>
          <w:szCs w:val="24"/>
          <w:highlight w:val="none"/>
        </w:rPr>
        <w:t>②报价的唯一性，不接受两个及以上有选择的报价。③服务期限</w:t>
      </w:r>
      <w:r>
        <w:rPr>
          <w:rFonts w:hint="eastAsia" w:hAnsi="宋体" w:eastAsia="宋体"/>
          <w:b/>
          <w:bCs/>
          <w:spacing w:val="6"/>
          <w:sz w:val="24"/>
          <w:szCs w:val="24"/>
          <w:highlight w:val="none"/>
          <w:lang w:eastAsia="zh-CN"/>
        </w:rPr>
        <w:t>、</w:t>
      </w:r>
      <w:r>
        <w:rPr>
          <w:rFonts w:hint="eastAsia" w:hAnsi="宋体"/>
          <w:b/>
          <w:bCs/>
          <w:spacing w:val="6"/>
          <w:sz w:val="24"/>
          <w:szCs w:val="24"/>
          <w:highlight w:val="none"/>
        </w:rPr>
        <w:t>工期</w:t>
      </w:r>
      <w:r>
        <w:rPr>
          <w:rFonts w:hint="eastAsia" w:hAnsi="宋体" w:eastAsia="宋体"/>
          <w:b/>
          <w:bCs/>
          <w:spacing w:val="6"/>
          <w:sz w:val="24"/>
          <w:szCs w:val="24"/>
          <w:highlight w:val="none"/>
          <w:lang w:eastAsia="zh-CN"/>
        </w:rPr>
        <w:t>、质保期是否</w:t>
      </w:r>
      <w:r>
        <w:rPr>
          <w:rFonts w:hint="eastAsia" w:hAnsi="宋体" w:eastAsia="宋体"/>
          <w:b/>
          <w:bCs/>
          <w:spacing w:val="6"/>
          <w:sz w:val="24"/>
          <w:szCs w:val="24"/>
          <w:highlight w:val="none"/>
          <w:lang w:val="en-US" w:eastAsia="zh-CN"/>
        </w:rPr>
        <w:t>符合</w:t>
      </w:r>
      <w:r>
        <w:rPr>
          <w:rFonts w:hint="eastAsia" w:hAnsi="宋体"/>
          <w:b/>
          <w:bCs/>
          <w:spacing w:val="6"/>
          <w:sz w:val="24"/>
          <w:szCs w:val="24"/>
          <w:highlight w:val="none"/>
        </w:rPr>
        <w:t>招标文件规定的期限；④投标内容完整性，投标文件的名称、项目、数量、交货地点等实质性内容与</w:t>
      </w:r>
      <w:r>
        <w:rPr>
          <w:rFonts w:hint="eastAsia" w:hAnsi="宋体" w:eastAsia="宋体"/>
          <w:b/>
          <w:bCs/>
          <w:spacing w:val="6"/>
          <w:sz w:val="24"/>
          <w:szCs w:val="24"/>
          <w:highlight w:val="none"/>
          <w:lang w:val="en-US" w:eastAsia="zh-CN"/>
        </w:rPr>
        <w:t>磋商</w:t>
      </w:r>
      <w:r>
        <w:rPr>
          <w:rFonts w:hint="eastAsia" w:hAnsi="宋体"/>
          <w:b/>
          <w:bCs/>
          <w:spacing w:val="6"/>
          <w:sz w:val="24"/>
          <w:szCs w:val="24"/>
          <w:highlight w:val="none"/>
        </w:rPr>
        <w:t>文件一致</w:t>
      </w:r>
      <w:r>
        <w:rPr>
          <w:rFonts w:hint="default" w:ascii="Calibri" w:hAnsi="Calibri" w:cs="Calibri"/>
          <w:b/>
          <w:bCs/>
          <w:spacing w:val="6"/>
          <w:sz w:val="24"/>
          <w:szCs w:val="24"/>
          <w:highlight w:val="none"/>
        </w:rPr>
        <w:t>⑤</w:t>
      </w:r>
      <w:r>
        <w:rPr>
          <w:rFonts w:hint="eastAsia" w:hAnsi="宋体" w:eastAsia="宋体"/>
          <w:b/>
          <w:bCs/>
          <w:spacing w:val="6"/>
          <w:sz w:val="24"/>
          <w:szCs w:val="24"/>
          <w:highlight w:val="none"/>
          <w:lang w:eastAsia="zh-CN"/>
        </w:rPr>
        <w:t>投标人资质是否满足要求</w:t>
      </w:r>
      <w:r>
        <w:rPr>
          <w:rFonts w:hint="eastAsia" w:hAnsi="宋体" w:eastAsia="宋体"/>
          <w:b/>
          <w:bCs/>
          <w:spacing w:val="6"/>
          <w:sz w:val="24"/>
          <w:szCs w:val="24"/>
          <w:highlight w:val="none"/>
          <w:lang w:val="en-US" w:eastAsia="zh-CN"/>
        </w:rPr>
        <w:t>等</w:t>
      </w:r>
      <w:r>
        <w:rPr>
          <w:rFonts w:hint="eastAsia" w:hAnsi="宋体"/>
          <w:b/>
          <w:bCs/>
          <w:spacing w:val="6"/>
          <w:sz w:val="24"/>
          <w:szCs w:val="24"/>
          <w:highlight w:val="none"/>
        </w:rPr>
        <w:t>。</w:t>
      </w:r>
    </w:p>
    <w:p>
      <w:pPr>
        <w:pStyle w:val="2"/>
        <w:spacing w:before="36" w:line="357" w:lineRule="auto"/>
        <w:ind w:right="237" w:firstLine="480"/>
        <w:jc w:val="both"/>
        <w:rPr>
          <w:lang w:eastAsia="zh-CN"/>
        </w:rPr>
      </w:pPr>
      <w:r>
        <w:rPr>
          <w:highlight w:val="none"/>
          <w:lang w:eastAsia="zh-CN"/>
        </w:rPr>
        <w:t>21.2</w:t>
      </w:r>
      <w:r>
        <w:rPr>
          <w:spacing w:val="-4"/>
          <w:highlight w:val="none"/>
          <w:lang w:eastAsia="zh-CN"/>
        </w:rPr>
        <w:t>经磋商小组集体审核通过，</w:t>
      </w:r>
      <w:r>
        <w:rPr>
          <w:spacing w:val="-4"/>
          <w:lang w:eastAsia="zh-CN"/>
        </w:rPr>
        <w:t>对于不符合条件的供应商要说明其不符合要求的原</w:t>
      </w:r>
      <w:r>
        <w:rPr>
          <w:spacing w:val="-2"/>
          <w:lang w:eastAsia="zh-CN"/>
        </w:rPr>
        <w:t>因，由其法定代表人或授权代表签字确认，供应商代表拒不签字的，并不影响磋商小组</w:t>
      </w:r>
      <w:r>
        <w:rPr>
          <w:lang w:eastAsia="zh-CN"/>
        </w:rPr>
        <w:t>所做出的结论。</w:t>
      </w:r>
    </w:p>
    <w:p>
      <w:pPr>
        <w:pStyle w:val="2"/>
        <w:spacing w:before="34"/>
        <w:ind w:left="595" w:right="104"/>
        <w:rPr>
          <w:lang w:eastAsia="zh-CN"/>
        </w:rPr>
      </w:pPr>
      <w:r>
        <w:rPr>
          <w:lang w:eastAsia="zh-CN"/>
        </w:rPr>
        <w:t>21.3响应文件的澄清</w:t>
      </w:r>
    </w:p>
    <w:p>
      <w:pPr>
        <w:pStyle w:val="2"/>
        <w:spacing w:line="357" w:lineRule="auto"/>
        <w:ind w:right="104" w:firstLine="480"/>
        <w:rPr>
          <w:lang w:eastAsia="zh-CN"/>
        </w:rPr>
      </w:pPr>
      <w:r>
        <w:rPr>
          <w:lang w:eastAsia="zh-CN"/>
        </w:rPr>
        <w:t xml:space="preserve">21.3.1在磋商期间，磋商小组将以书面方式要求供应商对其响应文件中含义不明 </w:t>
      </w:r>
      <w:r>
        <w:rPr>
          <w:spacing w:val="-2"/>
          <w:lang w:eastAsia="zh-CN"/>
        </w:rPr>
        <w:t>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w:t>
      </w:r>
      <w:r>
        <w:rPr>
          <w:lang w:eastAsia="zh-CN"/>
        </w:rPr>
        <w:t>进行，并不得超出响应文件范围或者改变响应文件的实质性内容。</w:t>
      </w:r>
    </w:p>
    <w:p>
      <w:pPr>
        <w:pStyle w:val="2"/>
        <w:spacing w:before="36"/>
        <w:ind w:left="595" w:right="104"/>
        <w:rPr>
          <w:lang w:eastAsia="zh-CN"/>
        </w:rPr>
      </w:pPr>
      <w:r>
        <w:rPr>
          <w:lang w:eastAsia="zh-CN"/>
        </w:rPr>
        <w:t>21.3.2供应商的澄清、说明或补正将作为响应文件的一部分。</w:t>
      </w:r>
    </w:p>
    <w:p>
      <w:pPr>
        <w:pStyle w:val="2"/>
        <w:spacing w:before="151" w:line="357" w:lineRule="auto"/>
        <w:ind w:right="237" w:firstLine="480"/>
        <w:jc w:val="both"/>
        <w:rPr>
          <w:lang w:eastAsia="zh-CN"/>
        </w:rPr>
      </w:pPr>
      <w:r>
        <w:rPr>
          <w:lang w:eastAsia="zh-CN"/>
        </w:rPr>
        <w:t>21.3.3</w:t>
      </w:r>
      <w:r>
        <w:rPr>
          <w:spacing w:val="-4"/>
          <w:lang w:eastAsia="zh-CN"/>
        </w:rPr>
        <w:t>磋商小组要求供应商澄清、说明或者更正响应文件应当以书面形式作出。供</w:t>
      </w:r>
      <w:r>
        <w:rPr>
          <w:spacing w:val="-2"/>
          <w:lang w:eastAsia="zh-CN"/>
        </w:rPr>
        <w:t>应商的澄清、说明或者更正应当由法定代表人或其授权代表签字或者加盖公章。由授权代表签字的，应当附法定代表人授权书。供应商为自然人的，应当由本人签字并附身份</w:t>
      </w:r>
      <w:r>
        <w:rPr>
          <w:lang w:eastAsia="zh-CN"/>
        </w:rPr>
        <w:t>证明。</w:t>
      </w:r>
    </w:p>
    <w:p>
      <w:pPr>
        <w:pStyle w:val="2"/>
        <w:spacing w:before="34" w:line="357" w:lineRule="auto"/>
        <w:ind w:right="237" w:firstLine="480"/>
        <w:jc w:val="both"/>
        <w:rPr>
          <w:lang w:eastAsia="zh-CN"/>
        </w:rPr>
      </w:pPr>
      <w:r>
        <w:rPr>
          <w:lang w:eastAsia="zh-CN"/>
        </w:rPr>
        <w:t>21.4</w:t>
      </w:r>
      <w:r>
        <w:rPr>
          <w:spacing w:val="3"/>
          <w:lang w:eastAsia="zh-CN"/>
        </w:rPr>
        <w:t>供应商所报产品如被列入财政部与国家主管部门颁发的节能产品目录或环境</w:t>
      </w:r>
      <w:r>
        <w:rPr>
          <w:spacing w:val="-2"/>
          <w:lang w:eastAsia="zh-CN"/>
        </w:rPr>
        <w:t>标志产品目录，应提供符合要求的产品认证证书，在磋商时予以优先采购，具体优先采</w:t>
      </w:r>
      <w:r>
        <w:rPr>
          <w:lang w:eastAsia="zh-CN"/>
        </w:rPr>
        <w:t>购办法见第5章评审方法和标准。</w:t>
      </w:r>
    </w:p>
    <w:p>
      <w:pPr>
        <w:pStyle w:val="2"/>
        <w:spacing w:before="34" w:line="355" w:lineRule="auto"/>
        <w:ind w:right="237" w:firstLine="480"/>
        <w:jc w:val="both"/>
        <w:rPr>
          <w:lang w:eastAsia="zh-CN"/>
        </w:rPr>
      </w:pPr>
      <w:r>
        <w:rPr>
          <w:spacing w:val="-2"/>
          <w:lang w:eastAsia="zh-CN"/>
        </w:rPr>
        <w:t>如采购人所采购产品为政府强制采购的节能产品，供应商应提供符合要求的产品认</w:t>
      </w:r>
      <w:r>
        <w:rPr>
          <w:lang w:eastAsia="zh-CN"/>
        </w:rPr>
        <w:t xml:space="preserve"> 证证明材料。</w:t>
      </w:r>
    </w:p>
    <w:p>
      <w:pPr>
        <w:pStyle w:val="2"/>
        <w:spacing w:before="38"/>
        <w:ind w:left="595"/>
        <w:rPr>
          <w:lang w:eastAsia="zh-CN"/>
        </w:rPr>
      </w:pPr>
      <w:r>
        <w:rPr>
          <w:lang w:eastAsia="zh-CN"/>
        </w:rPr>
        <w:t>21.5已提交响应文件的供应商</w:t>
      </w:r>
      <w:r>
        <w:rPr>
          <w:spacing w:val="-113"/>
          <w:lang w:eastAsia="zh-CN"/>
        </w:rPr>
        <w:t>，</w:t>
      </w:r>
      <w:r>
        <w:rPr>
          <w:lang w:eastAsia="zh-CN"/>
        </w:rPr>
        <w:t>在提交最后报价之前</w:t>
      </w:r>
      <w:r>
        <w:rPr>
          <w:spacing w:val="-116"/>
          <w:lang w:eastAsia="zh-CN"/>
        </w:rPr>
        <w:t>，</w:t>
      </w:r>
      <w:r>
        <w:rPr>
          <w:lang w:eastAsia="zh-CN"/>
        </w:rPr>
        <w:t>可以根据磋商情况退出磋商。</w:t>
      </w:r>
    </w:p>
    <w:p>
      <w:pPr>
        <w:pStyle w:val="2"/>
        <w:spacing w:before="151"/>
        <w:ind w:left="595" w:right="104"/>
        <w:rPr>
          <w:lang w:eastAsia="zh-CN"/>
        </w:rPr>
      </w:pPr>
      <w:r>
        <w:rPr>
          <w:lang w:eastAsia="zh-CN"/>
        </w:rPr>
        <w:t>21.6磋商小组可以接受响应文件中不构成实质性偏离的不正规或不一致。</w:t>
      </w:r>
    </w:p>
    <w:p>
      <w:pPr>
        <w:pStyle w:val="10"/>
        <w:spacing w:before="154"/>
        <w:ind w:right="104"/>
        <w:rPr>
          <w:b w:val="0"/>
          <w:bCs w:val="0"/>
          <w:lang w:eastAsia="zh-CN"/>
        </w:rPr>
      </w:pPr>
      <w:bookmarkStart w:id="28" w:name="22.无效响应"/>
      <w:bookmarkEnd w:id="28"/>
      <w:r>
        <w:rPr>
          <w:lang w:eastAsia="zh-CN"/>
        </w:rPr>
        <w:t>22.无效响应</w:t>
      </w:r>
    </w:p>
    <w:p>
      <w:pPr>
        <w:pStyle w:val="2"/>
        <w:spacing w:before="34" w:line="357" w:lineRule="auto"/>
        <w:ind w:right="237" w:firstLine="480"/>
        <w:jc w:val="both"/>
        <w:rPr>
          <w:lang w:eastAsia="zh-CN"/>
        </w:rPr>
      </w:pPr>
      <w:r>
        <w:rPr>
          <w:lang w:eastAsia="zh-CN"/>
        </w:rPr>
        <w:t>22.1在比较与评价之前，根据本须知的规定，磋商小组要审查每份响应文件是否实质上响应了竞争性磋商文件的要求，未实质性响应磋商文件的响应文件按无效响应处理。</w:t>
      </w:r>
    </w:p>
    <w:p>
      <w:pPr>
        <w:pStyle w:val="2"/>
        <w:spacing w:before="34" w:line="357" w:lineRule="auto"/>
        <w:ind w:right="237" w:firstLine="480"/>
        <w:jc w:val="both"/>
        <w:rPr>
          <w:lang w:eastAsia="zh-CN"/>
        </w:rPr>
      </w:pPr>
      <w:r>
        <w:rPr>
          <w:lang w:eastAsia="zh-CN"/>
        </w:rPr>
        <w:t>22.2如发现下列情况之一的，其响应将被认定为无效响应：</w:t>
      </w:r>
    </w:p>
    <w:p>
      <w:pPr>
        <w:pStyle w:val="2"/>
        <w:spacing w:before="34" w:line="357" w:lineRule="auto"/>
        <w:ind w:right="237" w:firstLine="1003" w:firstLineChars="418"/>
        <w:jc w:val="both"/>
        <w:rPr>
          <w:lang w:eastAsia="zh-CN"/>
        </w:rPr>
      </w:pPr>
      <w:r>
        <w:rPr>
          <w:lang w:eastAsia="zh-CN"/>
        </w:rPr>
        <w:t>（1）未按照竞争性磋商文件规定要求签署、盖章的；</w:t>
      </w:r>
    </w:p>
    <w:p>
      <w:pPr>
        <w:pStyle w:val="2"/>
        <w:spacing w:before="151"/>
        <w:ind w:left="968" w:right="104"/>
        <w:rPr>
          <w:lang w:eastAsia="zh-CN"/>
        </w:rPr>
      </w:pPr>
      <w:r>
        <w:rPr>
          <w:lang w:eastAsia="zh-CN"/>
        </w:rPr>
        <w:t>（2）未满足竞争性磋商文件商务和技术条款的实质性要求的；</w:t>
      </w:r>
    </w:p>
    <w:p>
      <w:pPr>
        <w:pStyle w:val="2"/>
        <w:ind w:left="1018" w:right="104"/>
        <w:rPr>
          <w:lang w:eastAsia="zh-CN"/>
        </w:rPr>
      </w:pPr>
      <w:r>
        <w:rPr>
          <w:lang w:eastAsia="zh-CN"/>
        </w:rPr>
        <w:t>（3）违反竞争性磋商文件规定提供进口产品的；</w:t>
      </w:r>
    </w:p>
    <w:p>
      <w:pPr>
        <w:pStyle w:val="2"/>
        <w:spacing w:before="151"/>
        <w:ind w:left="1018" w:right="104"/>
        <w:rPr>
          <w:lang w:eastAsia="zh-CN"/>
        </w:rPr>
      </w:pPr>
      <w:r>
        <w:rPr>
          <w:lang w:eastAsia="zh-CN"/>
        </w:rPr>
        <w:t>（4）报价超过项目预算或最高限价的；</w:t>
      </w:r>
    </w:p>
    <w:p>
      <w:pPr>
        <w:pStyle w:val="2"/>
        <w:ind w:left="1018" w:right="104"/>
        <w:rPr>
          <w:lang w:eastAsia="zh-CN"/>
        </w:rPr>
      </w:pPr>
      <w:r>
        <w:rPr>
          <w:lang w:eastAsia="zh-CN"/>
        </w:rPr>
        <w:t>（5）响应有效期不足的；</w:t>
      </w:r>
    </w:p>
    <w:p>
      <w:pPr>
        <w:pStyle w:val="2"/>
        <w:ind w:left="1018" w:right="104"/>
        <w:rPr>
          <w:lang w:eastAsia="zh-CN"/>
        </w:rPr>
      </w:pPr>
      <w:r>
        <w:rPr>
          <w:lang w:eastAsia="zh-CN"/>
        </w:rPr>
        <w:t>（6）联合体响应文件未附联合体响应协议书的；</w:t>
      </w:r>
    </w:p>
    <w:p>
      <w:pPr>
        <w:pStyle w:val="2"/>
        <w:spacing w:before="151"/>
        <w:ind w:left="1018" w:right="104"/>
        <w:rPr>
          <w:lang w:eastAsia="zh-CN"/>
        </w:rPr>
      </w:pPr>
      <w:r>
        <w:rPr>
          <w:lang w:eastAsia="zh-CN"/>
        </w:rPr>
        <w:t>（7）不符合竞争性磋商文件中有关分包规定的；</w:t>
      </w:r>
    </w:p>
    <w:p>
      <w:pPr>
        <w:pStyle w:val="2"/>
        <w:spacing w:before="151"/>
        <w:ind w:left="1018" w:right="104"/>
        <w:rPr>
          <w:lang w:eastAsia="zh-CN"/>
        </w:rPr>
      </w:pPr>
      <w:r>
        <w:rPr>
          <w:lang w:eastAsia="zh-CN"/>
        </w:rPr>
        <w:t>（8）属于串通响应，或者依法被视为串通响应；</w:t>
      </w:r>
    </w:p>
    <w:p>
      <w:pPr>
        <w:pStyle w:val="2"/>
        <w:ind w:left="1018" w:right="104"/>
        <w:rPr>
          <w:lang w:eastAsia="zh-CN"/>
        </w:rPr>
      </w:pPr>
      <w:r>
        <w:rPr>
          <w:lang w:eastAsia="zh-CN"/>
        </w:rPr>
        <w:t>（9）响应文件含有采购人不能接受的附加条件的；</w:t>
      </w:r>
    </w:p>
    <w:p>
      <w:pPr>
        <w:pStyle w:val="2"/>
        <w:ind w:left="968" w:right="104"/>
        <w:rPr>
          <w:lang w:eastAsia="zh-CN"/>
        </w:rPr>
      </w:pPr>
      <w:r>
        <w:rPr>
          <w:lang w:eastAsia="zh-CN"/>
        </w:rPr>
        <w:t>（10）属于竞争性磋商文件规定的其他无效响应情形的；</w:t>
      </w:r>
    </w:p>
    <w:p>
      <w:pPr>
        <w:pStyle w:val="2"/>
        <w:spacing w:before="151" w:line="357" w:lineRule="auto"/>
        <w:ind w:left="595" w:right="1429" w:firstLine="422"/>
        <w:rPr>
          <w:rFonts w:cs="宋体"/>
          <w:lang w:eastAsia="zh-CN"/>
        </w:rPr>
      </w:pPr>
      <w:r>
        <w:rPr>
          <w:lang w:eastAsia="zh-CN"/>
        </w:rPr>
        <w:t xml:space="preserve">（11）不符合法规和竞争性磋商文件中规定的其他实质性要求的。 </w:t>
      </w:r>
      <w:bookmarkStart w:id="29" w:name="23.磋商"/>
      <w:bookmarkEnd w:id="29"/>
      <w:r>
        <w:rPr>
          <w:rFonts w:cs="宋体"/>
          <w:b/>
          <w:bCs/>
          <w:lang w:eastAsia="zh-CN"/>
        </w:rPr>
        <w:t>23.磋商</w:t>
      </w:r>
    </w:p>
    <w:p>
      <w:pPr>
        <w:pStyle w:val="2"/>
        <w:spacing w:before="34"/>
        <w:ind w:left="548" w:right="104"/>
        <w:rPr>
          <w:lang w:eastAsia="zh-CN"/>
        </w:rPr>
      </w:pPr>
      <w:r>
        <w:rPr>
          <w:lang w:eastAsia="zh-CN"/>
        </w:rPr>
        <w:t>23.1磋商小组所有成员集中与供应商分别单独进行磋商。</w:t>
      </w:r>
    </w:p>
    <w:p>
      <w:pPr>
        <w:pStyle w:val="2"/>
        <w:spacing w:line="357" w:lineRule="auto"/>
        <w:ind w:right="237" w:firstLine="432"/>
        <w:jc w:val="both"/>
        <w:rPr>
          <w:lang w:eastAsia="zh-CN"/>
        </w:rPr>
      </w:pPr>
      <w:r>
        <w:rPr>
          <w:lang w:eastAsia="zh-CN"/>
        </w:rPr>
        <w:t>23.2</w:t>
      </w:r>
      <w:r>
        <w:rPr>
          <w:spacing w:val="-2"/>
          <w:lang w:eastAsia="zh-CN"/>
        </w:rPr>
        <w:t>在磋商过程中，磋商小组可以根据磋商文件和磋商情况实质性变动采购需求中的技术、服务要求以及合同条款，但不得变动磋商文件中的其他内容。实质性变动的内</w:t>
      </w:r>
      <w:r>
        <w:rPr>
          <w:lang w:eastAsia="zh-CN"/>
        </w:rPr>
        <w:t>容，须经采购人代表确认。</w:t>
      </w:r>
    </w:p>
    <w:p>
      <w:pPr>
        <w:pStyle w:val="2"/>
        <w:spacing w:before="34" w:line="357" w:lineRule="auto"/>
        <w:ind w:right="220" w:firstLine="432"/>
        <w:rPr>
          <w:lang w:eastAsia="zh-CN"/>
        </w:rPr>
      </w:pPr>
      <w:r>
        <w:rPr>
          <w:lang w:eastAsia="zh-CN"/>
        </w:rPr>
        <w:t>23.3</w:t>
      </w:r>
      <w:r>
        <w:rPr>
          <w:spacing w:val="-2"/>
          <w:lang w:eastAsia="zh-CN"/>
        </w:rPr>
        <w:t>对磋商文件作出的实质性变动是磋商文件的有效组成部分，磋商小组应当及时</w:t>
      </w:r>
      <w:r>
        <w:rPr>
          <w:lang w:eastAsia="zh-CN"/>
        </w:rPr>
        <w:t>以书面形式同时通知所有参加磋商的供应商。</w:t>
      </w:r>
    </w:p>
    <w:p>
      <w:pPr>
        <w:pStyle w:val="2"/>
        <w:keepNext w:val="0"/>
        <w:keepLines w:val="0"/>
        <w:pageBreakBefore w:val="0"/>
        <w:widowControl w:val="0"/>
        <w:kinsoku/>
        <w:wordWrap/>
        <w:overflowPunct/>
        <w:topLinePunct w:val="0"/>
        <w:autoSpaceDE/>
        <w:autoSpaceDN/>
        <w:bidi w:val="0"/>
        <w:adjustRightInd/>
        <w:snapToGrid/>
        <w:spacing w:before="0" w:line="360" w:lineRule="auto"/>
        <w:ind w:right="0" w:firstLine="480" w:firstLineChars="200"/>
        <w:jc w:val="both"/>
        <w:textAlignment w:val="auto"/>
        <w:rPr>
          <w:lang w:eastAsia="zh-CN"/>
        </w:rPr>
      </w:pPr>
      <w:r>
        <w:rPr>
          <w:lang w:eastAsia="zh-CN"/>
        </w:rPr>
        <w:t>23.4</w:t>
      </w:r>
      <w:r>
        <w:rPr>
          <w:spacing w:val="-4"/>
          <w:lang w:eastAsia="zh-CN"/>
        </w:rPr>
        <w:t>供应商应当按照磋商文件的变动情况和磋商小组的要求重新提交响应文件，并由其法定代表人/负责人或委托代理人签字。供应商为自然人的，应当由本人签</w:t>
      </w:r>
      <w:r>
        <w:rPr>
          <w:lang w:eastAsia="zh-CN"/>
        </w:rPr>
        <w:t>字并附身份证明。</w:t>
      </w:r>
    </w:p>
    <w:p>
      <w:pPr>
        <w:pStyle w:val="2"/>
        <w:spacing w:before="34" w:line="357" w:lineRule="auto"/>
        <w:ind w:right="103" w:firstLine="432"/>
        <w:rPr>
          <w:lang w:eastAsia="zh-CN"/>
        </w:rPr>
      </w:pPr>
      <w:r>
        <w:rPr>
          <w:highlight w:val="none"/>
          <w:lang w:eastAsia="zh-CN"/>
        </w:rPr>
        <w:t>23.5</w:t>
      </w:r>
      <w:r>
        <w:rPr>
          <w:b/>
          <w:bCs/>
          <w:highlight w:val="none"/>
          <w:u w:val="single" w:color="auto"/>
          <w:lang w:eastAsia="zh-CN"/>
        </w:rPr>
        <w:t>本项目</w:t>
      </w:r>
      <w:r>
        <w:rPr>
          <w:rFonts w:ascii="宋体" w:hAnsi="宋体" w:cs="宋体"/>
          <w:b/>
          <w:color w:val="auto"/>
          <w:kern w:val="1"/>
          <w:highlight w:val="none"/>
          <w:u w:val="single" w:color="auto"/>
        </w:rPr>
        <w:t>各</w:t>
      </w:r>
      <w:r>
        <w:rPr>
          <w:rFonts w:hint="eastAsia" w:ascii="宋体" w:hAnsi="宋体" w:cs="宋体"/>
          <w:b/>
          <w:color w:val="auto"/>
          <w:kern w:val="1"/>
          <w:highlight w:val="none"/>
          <w:u w:val="single" w:color="auto"/>
        </w:rPr>
        <w:t>供应商</w:t>
      </w:r>
      <w:r>
        <w:rPr>
          <w:rFonts w:ascii="宋体" w:hAnsi="宋体" w:cs="宋体"/>
          <w:b/>
          <w:color w:val="auto"/>
          <w:kern w:val="1"/>
          <w:highlight w:val="none"/>
          <w:u w:val="single" w:color="auto"/>
        </w:rPr>
        <w:t>均有不超过三次报价机会,在采购范围不变的情况下</w:t>
      </w:r>
      <w:r>
        <w:rPr>
          <w:rFonts w:hint="eastAsia" w:ascii="宋体" w:hAnsi="宋体" w:cs="宋体"/>
          <w:b/>
          <w:color w:val="auto"/>
          <w:kern w:val="1"/>
          <w:highlight w:val="none"/>
          <w:u w:val="single" w:color="auto"/>
        </w:rPr>
        <w:t>供应商</w:t>
      </w:r>
      <w:r>
        <w:rPr>
          <w:rFonts w:ascii="宋体" w:hAnsi="宋体" w:cs="宋体"/>
          <w:b/>
          <w:color w:val="auto"/>
          <w:kern w:val="1"/>
          <w:highlight w:val="none"/>
          <w:u w:val="single" w:color="auto"/>
        </w:rPr>
        <w:t>第二次报价不得高于第一次报价，否则磋商小组有权据此对其做出无效报价的决定</w:t>
      </w:r>
      <w:r>
        <w:rPr>
          <w:b/>
          <w:bCs/>
          <w:spacing w:val="-7"/>
          <w:highlight w:val="none"/>
          <w:lang w:eastAsia="zh-CN"/>
        </w:rPr>
        <w:t>。</w:t>
      </w:r>
      <w:r>
        <w:rPr>
          <w:spacing w:val="-7"/>
          <w:highlight w:val="none"/>
          <w:lang w:eastAsia="zh-CN"/>
        </w:rPr>
        <w:t>磋</w:t>
      </w:r>
      <w:r>
        <w:rPr>
          <w:spacing w:val="-7"/>
          <w:lang w:eastAsia="zh-CN"/>
        </w:rPr>
        <w:t>商文件能够详细列明采购标的的技术、服务要求的，</w:t>
      </w:r>
      <w:r>
        <w:rPr>
          <w:spacing w:val="4"/>
          <w:lang w:eastAsia="zh-CN"/>
        </w:rPr>
        <w:t>磋商结束后，磋商小组应当要求所有实质性响应的供应商在规定时间内提交另一轮报</w:t>
      </w:r>
      <w:r>
        <w:rPr>
          <w:lang w:eastAsia="zh-CN"/>
        </w:rPr>
        <w:t>价，该报价为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另一轮报价，该报价为最后报价。</w:t>
      </w:r>
    </w:p>
    <w:p>
      <w:pPr>
        <w:pStyle w:val="2"/>
        <w:spacing w:before="34" w:line="357" w:lineRule="auto"/>
        <w:ind w:right="103" w:firstLine="432"/>
        <w:rPr>
          <w:lang w:eastAsia="zh-CN"/>
        </w:rPr>
      </w:pPr>
      <w:r>
        <w:rPr>
          <w:lang w:eastAsia="zh-CN"/>
        </w:rPr>
        <w:t>23.6</w:t>
      </w:r>
      <w:r>
        <w:rPr>
          <w:spacing w:val="-3"/>
          <w:lang w:eastAsia="zh-CN"/>
        </w:rPr>
        <w:t>最后报价是供应商响应文件的有效组成部分，供应商在临沂市公共资源交易中心系</w:t>
      </w:r>
      <w:r>
        <w:rPr>
          <w:spacing w:val="-2"/>
          <w:lang w:eastAsia="zh-CN"/>
        </w:rPr>
        <w:t>统自行提交最后报价，并确认。节能、环保产品、中小微企业产品价格认定均按照最后</w:t>
      </w:r>
      <w:r>
        <w:rPr>
          <w:lang w:eastAsia="zh-CN"/>
        </w:rPr>
        <w:t>报价后的浮动比例同比例进行调整。</w:t>
      </w:r>
    </w:p>
    <w:p>
      <w:pPr>
        <w:pStyle w:val="2"/>
        <w:spacing w:before="36" w:line="355" w:lineRule="auto"/>
        <w:ind w:right="103" w:firstLine="432"/>
        <w:rPr>
          <w:lang w:eastAsia="zh-CN"/>
        </w:rPr>
      </w:pPr>
      <w:r>
        <w:rPr>
          <w:lang w:eastAsia="zh-CN"/>
        </w:rPr>
        <w:t>23.7</w:t>
      </w:r>
      <w:r>
        <w:rPr>
          <w:spacing w:val="-6"/>
          <w:lang w:eastAsia="zh-CN"/>
        </w:rPr>
        <w:t>已提交响应文件的供应商，在提交最后报价之前，可以根据磋商情况退出磋商。</w:t>
      </w:r>
      <w:r>
        <w:rPr>
          <w:lang w:eastAsia="zh-CN"/>
        </w:rPr>
        <w:t>该退出申请由供应商法定代表人/负责人或委托代理人书面签字确认。</w:t>
      </w:r>
    </w:p>
    <w:p>
      <w:pPr>
        <w:pStyle w:val="10"/>
        <w:spacing w:before="38"/>
        <w:ind w:right="104"/>
        <w:rPr>
          <w:b w:val="0"/>
          <w:bCs w:val="0"/>
          <w:lang w:eastAsia="zh-CN"/>
        </w:rPr>
      </w:pPr>
      <w:bookmarkStart w:id="30" w:name="24.比较和评价"/>
      <w:bookmarkEnd w:id="30"/>
      <w:r>
        <w:rPr>
          <w:lang w:eastAsia="zh-CN"/>
        </w:rPr>
        <w:t>24.比较和评价</w:t>
      </w:r>
    </w:p>
    <w:p>
      <w:pPr>
        <w:pStyle w:val="2"/>
        <w:spacing w:before="151" w:line="357" w:lineRule="auto"/>
        <w:ind w:right="237" w:firstLine="480"/>
        <w:jc w:val="both"/>
        <w:rPr>
          <w:lang w:eastAsia="zh-CN"/>
        </w:rPr>
      </w:pPr>
      <w:r>
        <w:rPr>
          <w:lang w:eastAsia="zh-CN"/>
        </w:rPr>
        <w:t>24.1</w:t>
      </w:r>
      <w:r>
        <w:rPr>
          <w:spacing w:val="-4"/>
          <w:lang w:eastAsia="zh-CN"/>
        </w:rPr>
        <w:t>经磋商确定最终采购需求和提交最后报价的供应商后，磋商小组将根据竞争性</w:t>
      </w:r>
      <w:r>
        <w:rPr>
          <w:lang w:eastAsia="zh-CN"/>
        </w:rPr>
        <w:t>磋商文件确定的评审方法和标准，对其技术部分和商务部分作进一步的比较和评价。</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lang w:eastAsia="zh-CN"/>
        </w:rPr>
      </w:pPr>
      <w:r>
        <w:rPr>
          <w:lang w:eastAsia="zh-CN"/>
        </w:rPr>
        <w:t>24.2磋商严格按照竞争性磋商文件的要求和条件进行</w:t>
      </w:r>
      <w:r>
        <w:rPr>
          <w:spacing w:val="-108"/>
          <w:lang w:eastAsia="zh-CN"/>
        </w:rPr>
        <w:t>。</w:t>
      </w:r>
      <w:r>
        <w:rPr>
          <w:lang w:eastAsia="zh-CN"/>
        </w:rPr>
        <w:t>详细评审标准见竞争性磋商文件第5章。</w:t>
      </w:r>
      <w:r>
        <w:rPr>
          <w:spacing w:val="-2"/>
          <w:lang w:eastAsia="zh-CN"/>
        </w:rPr>
        <w:t>综合评分法，是指响应文件满足竞争性磋商文件全部要求，且按照评审因素的量化</w:t>
      </w:r>
      <w:r>
        <w:rPr>
          <w:lang w:eastAsia="zh-CN"/>
        </w:rPr>
        <w:t>指标评审得分最高的供应商为成交候选供应商的评审方法。</w:t>
      </w:r>
    </w:p>
    <w:p>
      <w:pPr>
        <w:pStyle w:val="2"/>
        <w:spacing w:before="36" w:line="357" w:lineRule="auto"/>
        <w:ind w:right="231" w:firstLine="480"/>
        <w:jc w:val="both"/>
        <w:rPr>
          <w:rFonts w:ascii="宋体" w:hAnsi="宋体" w:eastAsia="宋体"/>
          <w:lang w:eastAsia="zh-CN"/>
        </w:rPr>
      </w:pPr>
      <w:r>
        <w:rPr>
          <w:lang w:eastAsia="zh-CN"/>
        </w:rPr>
        <w:t xml:space="preserve">24.3根据《政府采购促进中小企业发展管理办法》（财库[2020]46号）、《财政 </w:t>
      </w:r>
      <w:r>
        <w:rPr>
          <w:spacing w:val="-7"/>
          <w:lang w:eastAsia="zh-CN"/>
        </w:rPr>
        <w:t>部司法部关于政府采购支持监狱企业发展有关问题的通知》（财库〔2014〕68</w:t>
      </w:r>
      <w:r>
        <w:rPr>
          <w:spacing w:val="-22"/>
          <w:lang w:eastAsia="zh-CN"/>
        </w:rPr>
        <w:t>号）和《三</w:t>
      </w:r>
      <w:r>
        <w:rPr>
          <w:lang w:eastAsia="zh-CN"/>
        </w:rPr>
        <w:t xml:space="preserve">部门联合发布关于促进残疾人就业政府采购政策的通知》（财库〔2017〕141号）的规 </w:t>
      </w:r>
      <w:r>
        <w:rPr>
          <w:spacing w:val="-2"/>
          <w:lang w:eastAsia="zh-CN"/>
        </w:rPr>
        <w:t>定，对满足价格扣除条件且在响应文件中提交了《</w:t>
      </w:r>
      <w:r>
        <w:rPr>
          <w:rFonts w:hint="eastAsia"/>
          <w:spacing w:val="-2"/>
          <w:lang w:val="en-US" w:eastAsia="zh-CN"/>
        </w:rPr>
        <w:t>中小企业</w:t>
      </w:r>
      <w:r>
        <w:rPr>
          <w:spacing w:val="-2"/>
          <w:lang w:eastAsia="zh-CN"/>
        </w:rPr>
        <w:t>声明函》或省级以上监狱管理局、戒毒管理局（含新疆生产建设兵团）出具的属于监狱企业的证明文件的供</w:t>
      </w:r>
      <w:r>
        <w:rPr>
          <w:rFonts w:ascii="宋体" w:hAnsi="宋体" w:eastAsia="宋体"/>
          <w:lang w:eastAsia="zh-CN"/>
        </w:rPr>
        <w:t>应商，</w:t>
      </w:r>
      <w:r>
        <w:rPr>
          <w:rFonts w:hint="eastAsia" w:ascii="宋体" w:hAnsi="宋体" w:eastAsia="宋体"/>
          <w:lang w:val="en-US" w:eastAsia="zh-CN"/>
        </w:rPr>
        <w:t>予以政策支持</w:t>
      </w:r>
      <w:r>
        <w:rPr>
          <w:rFonts w:ascii="宋体" w:hAnsi="宋体" w:eastAsia="宋体"/>
          <w:lang w:eastAsia="zh-CN"/>
        </w:rPr>
        <w:t>。具体办法及比例详见竞争性磋商文件第5章。</w:t>
      </w:r>
    </w:p>
    <w:p>
      <w:pPr>
        <w:pStyle w:val="2"/>
        <w:spacing w:before="36" w:line="357" w:lineRule="auto"/>
        <w:ind w:right="231" w:firstLine="480"/>
        <w:jc w:val="both"/>
        <w:rPr>
          <w:rFonts w:ascii="宋体" w:hAnsi="宋体" w:eastAsia="宋体"/>
          <w:lang w:eastAsia="zh-CN"/>
        </w:rPr>
      </w:pPr>
      <w:r>
        <w:rPr>
          <w:rFonts w:ascii="宋体" w:hAnsi="宋体" w:eastAsia="宋体"/>
          <w:lang w:eastAsia="zh-CN"/>
        </w:rPr>
        <w:t>24.4</w:t>
      </w:r>
      <w:r>
        <w:rPr>
          <w:rFonts w:hint="eastAsia" w:ascii="宋体" w:hAnsi="宋体" w:eastAsia="宋体"/>
          <w:lang w:eastAsia="zh-CN"/>
        </w:rPr>
        <w:t>根据国家有关节能、环保政策，对满足加分条件且在响应文件中提交了国家确定的认证机构出具的、处于有效期之内的节能产品、环境标志产品认证证书的供应商，可给予认证产品 5%的评审价格</w:t>
      </w:r>
      <w:r>
        <w:rPr>
          <w:rFonts w:hint="eastAsia"/>
          <w:lang w:eastAsia="zh-CN"/>
        </w:rPr>
        <w:t>、</w:t>
      </w:r>
      <w:r>
        <w:rPr>
          <w:rFonts w:hint="eastAsia"/>
          <w:lang w:val="en-US" w:eastAsia="zh-CN"/>
        </w:rPr>
        <w:t>技术加分</w:t>
      </w:r>
      <w:r>
        <w:rPr>
          <w:rFonts w:hint="eastAsia" w:ascii="宋体" w:hAnsi="宋体" w:eastAsia="宋体"/>
          <w:lang w:eastAsia="zh-CN"/>
        </w:rPr>
        <w:t>，同等条件下，优先采购认证产品。具体办法及比例详见竞争性磋商文件第5章。</w:t>
      </w:r>
    </w:p>
    <w:p>
      <w:pPr>
        <w:spacing w:before="36" w:line="357" w:lineRule="auto"/>
        <w:ind w:left="595" w:right="7002" w:hanging="480"/>
        <w:rPr>
          <w:rFonts w:ascii="宋体" w:hAnsi="宋体" w:eastAsia="宋体" w:cs="宋体"/>
          <w:sz w:val="24"/>
          <w:szCs w:val="24"/>
          <w:lang w:eastAsia="zh-CN"/>
        </w:rPr>
      </w:pPr>
      <w:bookmarkStart w:id="31" w:name="25.采购项目终止"/>
      <w:bookmarkEnd w:id="31"/>
      <w:r>
        <w:rPr>
          <w:rFonts w:ascii="宋体" w:hAnsi="宋体" w:eastAsia="宋体" w:cs="宋体"/>
          <w:b/>
          <w:bCs/>
          <w:sz w:val="24"/>
          <w:szCs w:val="24"/>
          <w:lang w:eastAsia="zh-CN"/>
        </w:rPr>
        <w:t>25.采购项目终止</w:t>
      </w:r>
    </w:p>
    <w:p>
      <w:pPr>
        <w:pStyle w:val="2"/>
        <w:spacing w:before="34" w:line="355" w:lineRule="auto"/>
        <w:ind w:right="291" w:firstLine="600"/>
        <w:rPr>
          <w:lang w:eastAsia="zh-CN"/>
        </w:rPr>
      </w:pPr>
      <w:r>
        <w:rPr>
          <w:lang w:eastAsia="zh-CN"/>
        </w:rPr>
        <w:t>出现下列情形之一的，采购人应当终止竞争性磋商采购活动，发布项目终止公告 并说明原因，重新开展采购活动：</w:t>
      </w:r>
    </w:p>
    <w:p>
      <w:pPr>
        <w:pStyle w:val="2"/>
        <w:spacing w:before="38"/>
        <w:ind w:left="908" w:right="104"/>
        <w:rPr>
          <w:lang w:eastAsia="zh-CN"/>
        </w:rPr>
      </w:pPr>
      <w:r>
        <w:rPr>
          <w:lang w:eastAsia="zh-CN"/>
        </w:rPr>
        <w:t>（1）因情况变化，不再符合规定的竞争性磋商采购方式适用情形的；</w:t>
      </w:r>
    </w:p>
    <w:p>
      <w:pPr>
        <w:pStyle w:val="2"/>
        <w:spacing w:before="151"/>
        <w:ind w:left="908" w:right="104"/>
        <w:rPr>
          <w:lang w:eastAsia="zh-CN"/>
        </w:rPr>
      </w:pPr>
      <w:r>
        <w:rPr>
          <w:lang w:eastAsia="zh-CN"/>
        </w:rPr>
        <w:t>（2）出现影响采购公正的违法、违规行为的；</w:t>
      </w:r>
    </w:p>
    <w:p>
      <w:pPr>
        <w:pStyle w:val="2"/>
        <w:spacing w:line="357" w:lineRule="auto"/>
        <w:ind w:right="171" w:firstLine="792"/>
        <w:rPr>
          <w:lang w:eastAsia="zh-CN"/>
        </w:rPr>
      </w:pPr>
      <w:r>
        <w:rPr>
          <w:lang w:eastAsia="zh-CN"/>
        </w:rPr>
        <w:t>（3）除《政府采购竞争性磋商采购方式管理暂行办法》第三条第四项规定的情 形外，在采购过程中符合要求的供应商或者报价未超过采购预算的供应商不足3家的。</w:t>
      </w:r>
    </w:p>
    <w:p>
      <w:pPr>
        <w:pStyle w:val="10"/>
        <w:spacing w:before="2"/>
        <w:ind w:right="104"/>
        <w:rPr>
          <w:b w:val="0"/>
          <w:bCs w:val="0"/>
          <w:lang w:eastAsia="zh-CN"/>
        </w:rPr>
      </w:pPr>
      <w:bookmarkStart w:id="32" w:name="26.保密要求"/>
      <w:bookmarkEnd w:id="32"/>
      <w:r>
        <w:rPr>
          <w:lang w:eastAsia="zh-CN"/>
        </w:rPr>
        <w:t>26.保密要求</w:t>
      </w:r>
    </w:p>
    <w:p>
      <w:pPr>
        <w:pStyle w:val="2"/>
        <w:ind w:left="595" w:right="104"/>
        <w:rPr>
          <w:lang w:eastAsia="zh-CN"/>
        </w:rPr>
      </w:pPr>
      <w:r>
        <w:rPr>
          <w:lang w:eastAsia="zh-CN"/>
        </w:rPr>
        <w:t>26.1磋商将在严格保密的情况下进行。</w:t>
      </w:r>
    </w:p>
    <w:p>
      <w:pPr>
        <w:spacing w:before="151" w:line="357" w:lineRule="auto"/>
        <w:ind w:left="115" w:right="340" w:firstLine="480"/>
        <w:rPr>
          <w:rFonts w:ascii="宋体" w:hAnsi="宋体" w:eastAsia="宋体" w:cs="宋体"/>
          <w:sz w:val="24"/>
          <w:szCs w:val="24"/>
          <w:lang w:eastAsia="zh-CN"/>
        </w:rPr>
      </w:pPr>
      <w:r>
        <w:rPr>
          <w:rFonts w:ascii="宋体" w:hAnsi="宋体" w:eastAsia="宋体" w:cs="宋体"/>
          <w:sz w:val="24"/>
          <w:szCs w:val="24"/>
          <w:lang w:eastAsia="zh-CN"/>
        </w:rPr>
        <w:t>26.2政府采购评审专家应当遵守磋商工作</w:t>
      </w:r>
      <w:r>
        <w:rPr>
          <w:rFonts w:ascii="宋体" w:hAnsi="宋体" w:eastAsia="宋体" w:cs="宋体"/>
          <w:b w:val="0"/>
          <w:bCs w:val="0"/>
          <w:sz w:val="24"/>
          <w:szCs w:val="24"/>
          <w:lang w:eastAsia="zh-CN"/>
        </w:rPr>
        <w:t>纪律，不得记录、复制或者带走任何评标资料，不得泄露磋商文件、磋商情况和磋商中获悉的商业秘密。</w:t>
      </w:r>
    </w:p>
    <w:p>
      <w:pPr>
        <w:pStyle w:val="8"/>
        <w:spacing w:before="28"/>
        <w:ind w:left="126" w:right="219"/>
        <w:jc w:val="center"/>
        <w:rPr>
          <w:b w:val="0"/>
          <w:bCs w:val="0"/>
          <w:lang w:eastAsia="zh-CN"/>
        </w:rPr>
      </w:pPr>
      <w:bookmarkStart w:id="33" w:name="六、确定成交"/>
      <w:bookmarkEnd w:id="33"/>
      <w:r>
        <w:rPr>
          <w:lang w:eastAsia="zh-CN"/>
        </w:rPr>
        <w:t>六、确定成交</w:t>
      </w:r>
    </w:p>
    <w:p>
      <w:pPr>
        <w:pStyle w:val="10"/>
        <w:spacing w:before="184"/>
        <w:ind w:right="104"/>
        <w:rPr>
          <w:b w:val="0"/>
          <w:bCs w:val="0"/>
          <w:lang w:eastAsia="zh-CN"/>
        </w:rPr>
      </w:pPr>
      <w:bookmarkStart w:id="34" w:name="27.成交候选供应商的确定原则及标准"/>
      <w:bookmarkEnd w:id="34"/>
      <w:r>
        <w:rPr>
          <w:lang w:eastAsia="zh-CN"/>
        </w:rPr>
        <w:t>27.成交候选供应商的确定原则及标准</w:t>
      </w:r>
    </w:p>
    <w:p>
      <w:pPr>
        <w:pStyle w:val="2"/>
        <w:spacing w:line="355" w:lineRule="auto"/>
        <w:ind w:right="104" w:firstLine="480"/>
        <w:rPr>
          <w:lang w:eastAsia="zh-CN"/>
        </w:rPr>
      </w:pPr>
      <w:r>
        <w:rPr>
          <w:lang w:eastAsia="zh-CN"/>
        </w:rPr>
        <w:t>除 29条规定外，对实质上响应磋商文件的供应商按下列方法进行排序，确定成交候选供应商。</w:t>
      </w:r>
    </w:p>
    <w:p>
      <w:pPr>
        <w:pStyle w:val="2"/>
        <w:spacing w:before="38"/>
        <w:ind w:left="595" w:right="104"/>
        <w:rPr>
          <w:lang w:eastAsia="zh-CN"/>
        </w:rPr>
      </w:pPr>
      <w:r>
        <w:rPr>
          <w:lang w:eastAsia="zh-CN"/>
        </w:rPr>
        <w:t>磋商小组对实质上响应竞争性磋商文件的供应商按照竞争性磋商文件第5章规定的</w:t>
      </w:r>
    </w:p>
    <w:p>
      <w:pPr>
        <w:pStyle w:val="2"/>
        <w:spacing w:before="151" w:line="357" w:lineRule="auto"/>
        <w:ind w:right="103"/>
        <w:rPr>
          <w:lang w:eastAsia="zh-CN"/>
        </w:rPr>
      </w:pPr>
      <w:r>
        <w:rPr>
          <w:spacing w:val="-6"/>
          <w:lang w:eastAsia="zh-CN"/>
        </w:rPr>
        <w:t xml:space="preserve">评审方法进行排序，确定 </w:t>
      </w:r>
      <w:r>
        <w:rPr>
          <w:lang w:eastAsia="zh-CN"/>
        </w:rPr>
        <w:t>3</w:t>
      </w:r>
      <w:r>
        <w:rPr>
          <w:spacing w:val="-5"/>
          <w:lang w:eastAsia="zh-CN"/>
        </w:rPr>
        <w:t>名成交候选供应商，并编写评审报告。评审得分相同的，</w:t>
      </w:r>
      <w:r>
        <w:rPr>
          <w:lang w:eastAsia="zh-CN"/>
        </w:rPr>
        <w:t>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lang w:eastAsia="zh-CN"/>
        </w:rPr>
      </w:pPr>
      <w:bookmarkStart w:id="35" w:name="28.确定成交候选供应商和成交供应商"/>
      <w:bookmarkEnd w:id="35"/>
      <w:r>
        <w:rPr>
          <w:rFonts w:ascii="宋体" w:hAnsi="宋体" w:eastAsia="宋体" w:cs="宋体"/>
          <w:b/>
          <w:bCs/>
          <w:sz w:val="24"/>
          <w:szCs w:val="24"/>
          <w:lang w:eastAsia="zh-CN"/>
        </w:rPr>
        <w:t>28.</w:t>
      </w:r>
      <w:r>
        <w:rPr>
          <w:rFonts w:ascii="宋体" w:hAnsi="宋体" w:eastAsia="宋体" w:cs="宋体"/>
          <w:b w:val="0"/>
          <w:bCs w:val="0"/>
          <w:sz w:val="24"/>
          <w:szCs w:val="24"/>
          <w:lang w:eastAsia="zh-CN"/>
        </w:rPr>
        <w:t>确定成交候选供应商和成交供应商</w:t>
      </w:r>
      <w:r>
        <w:rPr>
          <w:rFonts w:ascii="宋体" w:hAnsi="宋体" w:eastAsia="宋体" w:cs="宋体"/>
          <w:b w:val="0"/>
          <w:bCs w:val="0"/>
          <w:spacing w:val="-2"/>
          <w:sz w:val="24"/>
          <w:szCs w:val="24"/>
          <w:lang w:eastAsia="zh-CN"/>
        </w:rPr>
        <w:t>磋商</w:t>
      </w:r>
      <w:r>
        <w:rPr>
          <w:rFonts w:ascii="宋体" w:hAnsi="宋体" w:eastAsia="宋体" w:cs="宋体"/>
          <w:spacing w:val="-2"/>
          <w:sz w:val="24"/>
          <w:szCs w:val="24"/>
          <w:lang w:eastAsia="zh-CN"/>
        </w:rPr>
        <w:t>小组将根据评标标准，按</w:t>
      </w:r>
      <w:r>
        <w:rPr>
          <w:rFonts w:ascii="宋体" w:hAnsi="宋体" w:eastAsia="宋体" w:cs="宋体"/>
          <w:spacing w:val="-2"/>
          <w:sz w:val="24"/>
          <w:szCs w:val="24"/>
          <w:u w:val="single" w:color="000000"/>
          <w:lang w:eastAsia="zh-CN"/>
        </w:rPr>
        <w:t>供应商须知资料表中</w:t>
      </w:r>
      <w:r>
        <w:rPr>
          <w:rFonts w:ascii="宋体" w:hAnsi="宋体" w:eastAsia="宋体" w:cs="宋体"/>
          <w:spacing w:val="-2"/>
          <w:sz w:val="24"/>
          <w:szCs w:val="24"/>
          <w:lang w:eastAsia="zh-CN"/>
        </w:rPr>
        <w:t>规定数量推荐中</w:t>
      </w:r>
      <w:r>
        <w:rPr>
          <w:rFonts w:ascii="宋体" w:hAnsi="宋体" w:eastAsia="宋体"/>
          <w:spacing w:val="-5"/>
          <w:sz w:val="24"/>
          <w:szCs w:val="24"/>
          <w:lang w:eastAsia="zh-CN"/>
        </w:rPr>
        <w:t>标候选人或根据采购人的委托直接确定成交供应商。</w:t>
      </w:r>
    </w:p>
    <w:p>
      <w:pPr>
        <w:pStyle w:val="10"/>
        <w:keepNext w:val="0"/>
        <w:keepLines w:val="0"/>
        <w:pageBreakBefore w:val="0"/>
        <w:widowControl w:val="0"/>
        <w:kinsoku/>
        <w:wordWrap/>
        <w:overflowPunct/>
        <w:topLinePunct w:val="0"/>
        <w:autoSpaceDE/>
        <w:autoSpaceDN/>
        <w:bidi w:val="0"/>
        <w:adjustRightInd/>
        <w:snapToGrid/>
        <w:spacing w:before="0" w:line="360" w:lineRule="auto"/>
        <w:ind w:left="0" w:right="0" w:firstLine="482" w:firstLineChars="200"/>
        <w:textAlignment w:val="auto"/>
        <w:rPr>
          <w:rFonts w:ascii="宋体" w:hAnsi="宋体" w:eastAsia="宋体" w:cs="宋体"/>
          <w:b/>
          <w:bCs/>
          <w:sz w:val="18"/>
          <w:szCs w:val="18"/>
          <w:lang w:eastAsia="zh-CN"/>
        </w:rPr>
      </w:pPr>
      <w:bookmarkStart w:id="36" w:name="29.采购任务取消"/>
      <w:bookmarkEnd w:id="36"/>
      <w:r>
        <w:rPr>
          <w:u w:val="single" w:color="000000"/>
          <w:lang w:eastAsia="zh-CN"/>
        </w:rPr>
        <w:t>29.采购任务取消</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72" w:firstLineChars="200"/>
        <w:jc w:val="both"/>
        <w:textAlignment w:val="auto"/>
        <w:rPr>
          <w:lang w:eastAsia="zh-CN"/>
        </w:rPr>
      </w:pPr>
      <w:r>
        <w:rPr>
          <w:spacing w:val="-2"/>
          <w:lang w:eastAsia="zh-CN"/>
        </w:rPr>
        <w:t>因重大变故采购任务取消时，采购人有权拒绝任何供应商成交，对受影响的供应商</w:t>
      </w:r>
      <w:r>
        <w:rPr>
          <w:lang w:eastAsia="zh-CN"/>
        </w:rPr>
        <w:t>不承担任何责任。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lang w:eastAsia="zh-CN"/>
        </w:rPr>
      </w:pPr>
      <w:bookmarkStart w:id="37" w:name="30.发出成交通知书"/>
      <w:bookmarkEnd w:id="37"/>
      <w:r>
        <w:rPr>
          <w:rFonts w:ascii="宋体" w:hAnsi="宋体" w:eastAsia="宋体" w:cs="宋体"/>
          <w:b/>
          <w:bCs/>
          <w:sz w:val="24"/>
          <w:szCs w:val="24"/>
          <w:lang w:eastAsia="zh-CN"/>
        </w:rPr>
        <w:t>30.发出成交通知书</w:t>
      </w:r>
      <w:r>
        <w:rPr>
          <w:rFonts w:ascii="宋体" w:hAnsi="宋体" w:eastAsia="宋体" w:cs="宋体"/>
          <w:spacing w:val="-2"/>
          <w:sz w:val="24"/>
          <w:szCs w:val="24"/>
          <w:lang w:eastAsia="zh-CN"/>
        </w:rPr>
        <w:t>在响应有效期内，成交供应商确定后，采购人或者采购代理机构按照规定应同时公告供应商未中标的原因，发布成交公告，在公告成交结果的同时，向成交供应商发出成交通知书，成交通知书是合同的组成部分。</w:t>
      </w:r>
    </w:p>
    <w:p>
      <w:pPr>
        <w:pStyle w:val="10"/>
        <w:ind w:right="104"/>
        <w:rPr>
          <w:b w:val="0"/>
          <w:bCs w:val="0"/>
          <w:lang w:eastAsia="zh-CN"/>
        </w:rPr>
      </w:pPr>
      <w:bookmarkStart w:id="38" w:name="31.签订合同"/>
      <w:bookmarkEnd w:id="38"/>
      <w:r>
        <w:rPr>
          <w:lang w:eastAsia="zh-CN"/>
        </w:rPr>
        <w:t>31.签订合同</w:t>
      </w:r>
    </w:p>
    <w:p>
      <w:pPr>
        <w:pStyle w:val="2"/>
        <w:ind w:left="595"/>
        <w:rPr>
          <w:highlight w:val="none"/>
          <w:lang w:eastAsia="zh-CN"/>
        </w:rPr>
      </w:pPr>
      <w:r>
        <w:rPr>
          <w:highlight w:val="none"/>
          <w:lang w:eastAsia="zh-CN"/>
        </w:rPr>
        <w:t>31.1成交供应商应当自发出成交通知书之日起10个工作日内</w:t>
      </w:r>
      <w:r>
        <w:rPr>
          <w:spacing w:val="-108"/>
          <w:highlight w:val="none"/>
          <w:lang w:eastAsia="zh-CN"/>
        </w:rPr>
        <w:t>，</w:t>
      </w:r>
      <w:r>
        <w:rPr>
          <w:highlight w:val="none"/>
          <w:lang w:eastAsia="zh-CN"/>
        </w:rPr>
        <w:t>与采购人签订合同。</w:t>
      </w:r>
    </w:p>
    <w:p>
      <w:pPr>
        <w:pStyle w:val="2"/>
        <w:spacing w:before="151" w:line="357" w:lineRule="auto"/>
        <w:ind w:right="237" w:firstLine="480"/>
        <w:jc w:val="both"/>
        <w:rPr>
          <w:lang w:eastAsia="zh-CN"/>
        </w:rPr>
      </w:pPr>
      <w:r>
        <w:rPr>
          <w:lang w:eastAsia="zh-CN"/>
        </w:rPr>
        <w:t>31.2</w:t>
      </w:r>
      <w:r>
        <w:rPr>
          <w:spacing w:val="-4"/>
          <w:lang w:eastAsia="zh-CN"/>
        </w:rPr>
        <w:t>竞争性磋商文件、成交供应商的响应文件及其澄清文件等，均为签订合同的依</w:t>
      </w:r>
      <w:r>
        <w:rPr>
          <w:lang w:eastAsia="zh-CN"/>
        </w:rPr>
        <w:t>据。</w:t>
      </w:r>
    </w:p>
    <w:p>
      <w:pPr>
        <w:pStyle w:val="2"/>
        <w:spacing w:before="34" w:line="357" w:lineRule="auto"/>
        <w:ind w:right="237" w:firstLine="480"/>
        <w:jc w:val="both"/>
        <w:rPr>
          <w:lang w:eastAsia="zh-CN"/>
        </w:rPr>
      </w:pPr>
      <w:r>
        <w:rPr>
          <w:lang w:eastAsia="zh-CN"/>
        </w:rPr>
        <w:t>31.3</w:t>
      </w:r>
      <w:r>
        <w:rPr>
          <w:spacing w:val="-4"/>
          <w:lang w:eastAsia="zh-CN"/>
        </w:rPr>
        <w:t>如成交供应商拒绝与采购人签订合同的，采购人可以按照评审报告推荐的成交</w:t>
      </w:r>
      <w:r>
        <w:rPr>
          <w:spacing w:val="-2"/>
          <w:lang w:eastAsia="zh-CN"/>
        </w:rPr>
        <w:t>候选供应商名单排序，确定下一成交候选供应商为成交供应商，也可以重新开展政府采</w:t>
      </w:r>
      <w:r>
        <w:rPr>
          <w:lang w:eastAsia="zh-CN"/>
        </w:rPr>
        <w:t>购活动。</w:t>
      </w:r>
    </w:p>
    <w:p>
      <w:pPr>
        <w:pStyle w:val="2"/>
        <w:spacing w:before="2" w:line="357" w:lineRule="auto"/>
        <w:ind w:right="202" w:firstLine="480"/>
        <w:rPr>
          <w:lang w:eastAsia="zh-CN"/>
        </w:rPr>
      </w:pPr>
      <w:r>
        <w:rPr>
          <w:lang w:eastAsia="zh-CN"/>
        </w:rPr>
        <w:t>31.4</w:t>
      </w:r>
      <w:r>
        <w:rPr>
          <w:spacing w:val="-4"/>
          <w:lang w:eastAsia="zh-CN"/>
        </w:rPr>
        <w:t>当出现法规规定的成交无效或成交结果无效情形时，采购人依规可与排名下一</w:t>
      </w:r>
      <w:r>
        <w:rPr>
          <w:lang w:eastAsia="zh-CN"/>
        </w:rPr>
        <w:t>位的成交候选供应商另行签订合同，或依法重新开展采购活动。</w:t>
      </w:r>
    </w:p>
    <w:p>
      <w:pPr>
        <w:pStyle w:val="10"/>
        <w:ind w:right="211"/>
        <w:rPr>
          <w:b w:val="0"/>
          <w:bCs w:val="0"/>
          <w:lang w:eastAsia="zh-CN"/>
        </w:rPr>
      </w:pPr>
      <w:bookmarkStart w:id="39" w:name="32.履约保证金（无）"/>
      <w:bookmarkEnd w:id="39"/>
      <w:r>
        <w:rPr>
          <w:lang w:eastAsia="zh-CN"/>
        </w:rPr>
        <w:t>32.履约保证金（无）</w:t>
      </w:r>
    </w:p>
    <w:p>
      <w:pPr>
        <w:pStyle w:val="2"/>
        <w:spacing w:line="355" w:lineRule="auto"/>
        <w:ind w:right="202" w:firstLine="480"/>
        <w:rPr>
          <w:lang w:eastAsia="zh-CN"/>
        </w:rPr>
      </w:pPr>
      <w:r>
        <w:rPr>
          <w:lang w:eastAsia="zh-CN"/>
        </w:rPr>
        <w:t>32.1</w:t>
      </w:r>
      <w:r>
        <w:rPr>
          <w:spacing w:val="-4"/>
          <w:lang w:eastAsia="zh-CN"/>
        </w:rPr>
        <w:t>如果需要履约保证金，成交供应商应按照</w:t>
      </w:r>
      <w:r>
        <w:rPr>
          <w:spacing w:val="-4"/>
          <w:u w:val="single" w:color="000000"/>
          <w:lang w:eastAsia="zh-CN"/>
        </w:rPr>
        <w:t>供应商须知资料表</w:t>
      </w:r>
      <w:r>
        <w:rPr>
          <w:spacing w:val="-4"/>
          <w:lang w:eastAsia="zh-CN"/>
        </w:rPr>
        <w:t>规定向采购人缴纳</w:t>
      </w:r>
      <w:r>
        <w:rPr>
          <w:lang w:eastAsia="zh-CN"/>
        </w:rPr>
        <w:t>履约保证金</w:t>
      </w:r>
      <w:r>
        <w:rPr>
          <w:rFonts w:hint="eastAsia"/>
          <w:lang w:eastAsia="zh-CN"/>
        </w:rPr>
        <w:t>。</w:t>
      </w:r>
    </w:p>
    <w:p>
      <w:pPr>
        <w:pStyle w:val="2"/>
        <w:spacing w:before="38" w:line="355" w:lineRule="auto"/>
        <w:ind w:right="211" w:firstLine="480"/>
        <w:rPr>
          <w:lang w:eastAsia="zh-CN"/>
        </w:rPr>
      </w:pPr>
      <w:r>
        <w:rPr>
          <w:lang w:eastAsia="zh-CN"/>
        </w:rPr>
        <w:t>32.2政府采购利用担保试点范围内的项目，除31.1规定的情形外，成交供应商也可以按照财政部门的规定，向采购人提供合格的履约担保函。</w:t>
      </w:r>
    </w:p>
    <w:p>
      <w:pPr>
        <w:pStyle w:val="2"/>
        <w:spacing w:before="38" w:line="357" w:lineRule="auto"/>
        <w:ind w:right="91" w:firstLine="480"/>
        <w:rPr>
          <w:lang w:eastAsia="zh-CN"/>
        </w:rPr>
      </w:pPr>
      <w:r>
        <w:rPr>
          <w:lang w:eastAsia="zh-CN"/>
        </w:rPr>
        <w:t>32.3如果成交供应商没有按照上述履约保证金的规定执行，将视为放弃成交资格，成交供应商的磋商保证金将不予退还（如有）。在此情况下，采购人可依规确定下一候选人为成交供应商，也可以重新开展采购活动。</w:t>
      </w:r>
    </w:p>
    <w:p>
      <w:pPr>
        <w:pStyle w:val="10"/>
        <w:keepNext w:val="0"/>
        <w:keepLines w:val="0"/>
        <w:pageBreakBefore w:val="0"/>
        <w:widowControl w:val="0"/>
        <w:kinsoku/>
        <w:wordWrap/>
        <w:overflowPunct/>
        <w:topLinePunct w:val="0"/>
        <w:autoSpaceDE/>
        <w:autoSpaceDN/>
        <w:bidi w:val="0"/>
        <w:adjustRightInd/>
        <w:snapToGrid/>
        <w:spacing w:before="0" w:line="360" w:lineRule="auto"/>
        <w:ind w:left="0" w:right="0" w:firstLine="482" w:firstLineChars="200"/>
        <w:textAlignment w:val="auto"/>
        <w:rPr>
          <w:b w:val="0"/>
          <w:bCs w:val="0"/>
          <w:lang w:eastAsia="zh-CN"/>
        </w:rPr>
      </w:pPr>
      <w:bookmarkStart w:id="40" w:name="33.政府采购信用担保"/>
      <w:bookmarkEnd w:id="40"/>
      <w:r>
        <w:rPr>
          <w:u w:val="single" w:color="000000"/>
          <w:lang w:eastAsia="zh-CN"/>
        </w:rPr>
        <w:t>33.政府采购信用担保</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lang w:eastAsia="zh-CN"/>
        </w:rPr>
      </w:pPr>
      <w:r>
        <w:rPr>
          <w:lang w:eastAsia="zh-CN"/>
        </w:rPr>
        <w:t>33.1本项目是否属于信用担保试点范围见</w:t>
      </w:r>
      <w:r>
        <w:rPr>
          <w:u w:val="single" w:color="000000"/>
          <w:lang w:eastAsia="zh-CN"/>
        </w:rPr>
        <w:t>供应商须知资料表</w:t>
      </w:r>
      <w:r>
        <w:rPr>
          <w:lang w:eastAsia="zh-CN"/>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lang w:eastAsia="zh-CN"/>
        </w:rPr>
      </w:pPr>
      <w:r>
        <w:rPr>
          <w:lang w:eastAsia="zh-CN"/>
        </w:rPr>
        <w:t>33.2</w:t>
      </w:r>
      <w:r>
        <w:rPr>
          <w:spacing w:val="-4"/>
          <w:lang w:eastAsia="zh-CN"/>
        </w:rPr>
        <w:t>如属于政府采购信用担保试点范围内，中小型企业投标人可以自由按照财政部</w:t>
      </w:r>
      <w:r>
        <w:rPr>
          <w:lang w:eastAsia="zh-CN"/>
        </w:rPr>
        <w:t>门的规定，采用磋商担保、履约担保和融资担保。</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lang w:eastAsia="zh-CN"/>
        </w:rPr>
      </w:pPr>
      <w:r>
        <w:rPr>
          <w:lang w:eastAsia="zh-CN"/>
        </w:rPr>
        <w:t>33.2.1供应商递交的磋商担保函和履约担保函应符合本磋商文件的规定。</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lang w:eastAsia="zh-CN"/>
        </w:rPr>
      </w:pPr>
      <w:r>
        <w:rPr>
          <w:lang w:eastAsia="zh-CN"/>
        </w:rPr>
        <w:t>33.2.2成交供应商可以采取融资担保的形式为政府采购项目履约进行融资。</w:t>
      </w:r>
    </w:p>
    <w:p>
      <w:pPr>
        <w:pStyle w:val="10"/>
        <w:spacing w:before="154"/>
        <w:ind w:right="211"/>
        <w:rPr>
          <w:b w:val="0"/>
          <w:bCs w:val="0"/>
          <w:lang w:eastAsia="zh-CN"/>
        </w:rPr>
      </w:pPr>
      <w:bookmarkStart w:id="41" w:name="34.预付款"/>
      <w:bookmarkEnd w:id="41"/>
      <w:r>
        <w:rPr>
          <w:lang w:eastAsia="zh-CN"/>
        </w:rPr>
        <w:t>34.预付款</w:t>
      </w:r>
    </w:p>
    <w:p>
      <w:pPr>
        <w:pStyle w:val="2"/>
        <w:spacing w:before="151" w:line="357" w:lineRule="auto"/>
        <w:ind w:right="203" w:firstLine="480"/>
        <w:rPr>
          <w:lang w:eastAsia="zh-CN"/>
        </w:rPr>
      </w:pPr>
      <w:r>
        <w:rPr>
          <w:lang w:eastAsia="zh-CN"/>
        </w:rPr>
        <w:t>34.1</w:t>
      </w:r>
      <w:r>
        <w:rPr>
          <w:spacing w:val="-4"/>
          <w:lang w:eastAsia="zh-CN"/>
        </w:rPr>
        <w:t>预付款是在指政府采购合同签订后、履行前，采购人向成交供应商预先支付部</w:t>
      </w:r>
      <w:r>
        <w:rPr>
          <w:lang w:eastAsia="zh-CN"/>
        </w:rPr>
        <w:t>分合同款项，预付款比例按照</w:t>
      </w:r>
      <w:r>
        <w:rPr>
          <w:u w:val="single" w:color="000000"/>
          <w:lang w:eastAsia="zh-CN"/>
        </w:rPr>
        <w:t>供应商须知资料表</w:t>
      </w:r>
      <w:r>
        <w:rPr>
          <w:lang w:eastAsia="zh-CN"/>
        </w:rPr>
        <w:t>规定执行。</w:t>
      </w:r>
    </w:p>
    <w:p>
      <w:pPr>
        <w:pStyle w:val="2"/>
        <w:spacing w:before="34"/>
        <w:ind w:left="595" w:right="211"/>
        <w:rPr>
          <w:lang w:eastAsia="zh-CN"/>
        </w:rPr>
      </w:pPr>
      <w:r>
        <w:rPr>
          <w:lang w:eastAsia="zh-CN"/>
        </w:rPr>
        <w:t>34.2本项目采购人不需要支付预付款的情形，见</w:t>
      </w:r>
      <w:r>
        <w:rPr>
          <w:u w:val="single" w:color="000000"/>
          <w:lang w:eastAsia="zh-CN"/>
        </w:rPr>
        <w:t>供应商须知资料表</w:t>
      </w:r>
      <w:r>
        <w:rPr>
          <w:lang w:eastAsia="zh-CN"/>
        </w:rPr>
        <w:t>。</w:t>
      </w:r>
    </w:p>
    <w:p>
      <w:pPr>
        <w:pStyle w:val="10"/>
        <w:spacing w:before="154"/>
        <w:ind w:right="211"/>
        <w:rPr>
          <w:b w:val="0"/>
          <w:bCs w:val="0"/>
          <w:lang w:eastAsia="zh-CN"/>
        </w:rPr>
      </w:pPr>
      <w:bookmarkStart w:id="42" w:name="35.廉洁自律规定"/>
      <w:bookmarkEnd w:id="42"/>
      <w:r>
        <w:rPr>
          <w:lang w:eastAsia="zh-CN"/>
        </w:rPr>
        <w:t>35.廉洁自律规定</w:t>
      </w:r>
    </w:p>
    <w:p>
      <w:pPr>
        <w:pStyle w:val="2"/>
        <w:spacing w:before="151"/>
        <w:ind w:left="595" w:right="211"/>
        <w:rPr>
          <w:lang w:eastAsia="zh-CN"/>
        </w:rPr>
      </w:pPr>
      <w:r>
        <w:rPr>
          <w:lang w:eastAsia="zh-CN"/>
        </w:rPr>
        <w:t>35.1采购代理机构工作人员不得与采购人、供应商恶意串通操纵政府采购活动。</w:t>
      </w:r>
    </w:p>
    <w:p>
      <w:pPr>
        <w:pStyle w:val="2"/>
        <w:spacing w:line="357" w:lineRule="auto"/>
        <w:ind w:right="91" w:firstLine="480"/>
        <w:rPr>
          <w:lang w:eastAsia="zh-CN"/>
        </w:rPr>
      </w:pPr>
      <w:r>
        <w:rPr>
          <w:lang w:eastAsia="zh-CN"/>
        </w:rPr>
        <w:t>35.2采购代理机构工作人员不得接受采购人或者供应商组织的宴请、旅游、娱乐，不得收受礼品、现金、有价证券等，不得向采购人或者供应商报销应当由个人承担的费用。</w:t>
      </w:r>
    </w:p>
    <w:p>
      <w:pPr>
        <w:pStyle w:val="2"/>
        <w:spacing w:before="34" w:line="357" w:lineRule="auto"/>
        <w:ind w:right="202" w:firstLine="480"/>
        <w:rPr>
          <w:lang w:eastAsia="zh-CN"/>
        </w:rPr>
      </w:pPr>
      <w:r>
        <w:rPr>
          <w:lang w:eastAsia="zh-CN"/>
        </w:rPr>
        <w:t>35.3</w:t>
      </w:r>
      <w:r>
        <w:rPr>
          <w:spacing w:val="-4"/>
          <w:lang w:eastAsia="zh-CN"/>
        </w:rPr>
        <w:t>为强化采购代理机构内部监督机制，供应商可按</w:t>
      </w:r>
      <w:r>
        <w:rPr>
          <w:spacing w:val="-4"/>
          <w:u w:val="single" w:color="000000"/>
          <w:lang w:eastAsia="zh-CN"/>
        </w:rPr>
        <w:t>供应商须知资料表</w:t>
      </w:r>
      <w:r>
        <w:rPr>
          <w:spacing w:val="-4"/>
          <w:lang w:eastAsia="zh-CN"/>
        </w:rPr>
        <w:t>中的监督电</w:t>
      </w:r>
      <w:r>
        <w:rPr>
          <w:lang w:eastAsia="zh-CN"/>
        </w:rPr>
        <w:t>话和邮箱，反映采购代理机构的廉洁自律等问题。</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lang w:eastAsia="zh-CN"/>
        </w:rPr>
      </w:pPr>
      <w:bookmarkStart w:id="43" w:name="36.人员回避"/>
      <w:bookmarkEnd w:id="43"/>
      <w:r>
        <w:rPr>
          <w:rFonts w:cs="宋体"/>
          <w:b w:val="0"/>
          <w:bCs w:val="0"/>
          <w:lang w:eastAsia="zh-CN"/>
        </w:rPr>
        <w:t>36.</w:t>
      </w:r>
      <w:r>
        <w:rPr>
          <w:b w:val="0"/>
          <w:bCs w:val="0"/>
          <w:lang w:eastAsia="zh-CN"/>
        </w:rPr>
        <w:t>人员回避潜在供应商认为竞争性磋商文件使自己的权益受到损害的，供应商认为</w:t>
      </w:r>
      <w:r>
        <w:rPr>
          <w:lang w:eastAsia="zh-CN"/>
        </w:rPr>
        <w:t>采购人员、采购代理机构工作人员及其相关人员有法律法规所列与其他供应商有利害关系的，可以向采购人或采购代理机构书面提出回避申请，并说明理由。</w:t>
      </w:r>
    </w:p>
    <w:p>
      <w:pPr>
        <w:pStyle w:val="10"/>
        <w:ind w:right="211"/>
        <w:rPr>
          <w:b w:val="0"/>
          <w:bCs w:val="0"/>
          <w:lang w:eastAsia="zh-CN"/>
        </w:rPr>
      </w:pPr>
      <w:bookmarkStart w:id="44" w:name="37.质疑与接收"/>
      <w:bookmarkEnd w:id="44"/>
      <w:r>
        <w:rPr>
          <w:lang w:eastAsia="zh-CN"/>
        </w:rPr>
        <w:t>37.质疑与接收</w:t>
      </w:r>
    </w:p>
    <w:p>
      <w:pPr>
        <w:pStyle w:val="2"/>
        <w:spacing w:line="355" w:lineRule="auto"/>
        <w:ind w:right="91" w:firstLine="480"/>
        <w:rPr>
          <w:lang w:eastAsia="zh-CN"/>
        </w:rPr>
      </w:pPr>
      <w:r>
        <w:rPr>
          <w:lang w:eastAsia="zh-CN"/>
        </w:rPr>
        <w:t>37.1供应商认为竞争性磋商文件、磋商过程和成交结果使自己的权益受到损害的，可以根据《中华人民共和国政府采购法》、《中华人民共和国政府采购法实施条例》和</w:t>
      </w:r>
    </w:p>
    <w:p>
      <w:pPr>
        <w:pStyle w:val="2"/>
        <w:spacing w:before="38" w:line="355" w:lineRule="auto"/>
        <w:ind w:right="211"/>
        <w:rPr>
          <w:lang w:eastAsia="zh-CN"/>
        </w:rPr>
      </w:pPr>
      <w:r>
        <w:rPr>
          <w:spacing w:val="-2"/>
          <w:lang w:eastAsia="zh-CN"/>
        </w:rPr>
        <w:t>《政府采购质疑和投诉办法》的有关规定，依法向采购人或其委托的采购代理机构提出</w:t>
      </w:r>
      <w:r>
        <w:rPr>
          <w:lang w:eastAsia="zh-CN"/>
        </w:rPr>
        <w:t>质疑。</w:t>
      </w:r>
    </w:p>
    <w:p>
      <w:pPr>
        <w:pStyle w:val="2"/>
        <w:spacing w:before="38" w:line="357" w:lineRule="auto"/>
        <w:ind w:right="211" w:firstLine="480"/>
        <w:rPr>
          <w:lang w:eastAsia="zh-CN"/>
        </w:rPr>
      </w:pPr>
      <w:r>
        <w:rPr>
          <w:lang w:eastAsia="zh-CN"/>
        </w:rPr>
        <w:t>37.2质疑供应商应按照财政部制定的《政府采购质疑函范本》格式（可从财政部</w:t>
      </w:r>
      <w:r>
        <w:rPr>
          <w:spacing w:val="-2"/>
          <w:lang w:eastAsia="zh-CN"/>
        </w:rPr>
        <w:t>官方网站下载）和《政府采购质疑和投诉办法》的要求，在法定质疑期内以书面形式提</w:t>
      </w:r>
      <w:r>
        <w:rPr>
          <w:lang w:eastAsia="zh-CN"/>
        </w:rPr>
        <w:t>出质疑，针对同一采购程序环节的质疑应一次性提出。</w:t>
      </w:r>
    </w:p>
    <w:p>
      <w:pPr>
        <w:pStyle w:val="2"/>
        <w:spacing w:before="34" w:line="357" w:lineRule="auto"/>
        <w:ind w:right="211" w:firstLine="480"/>
        <w:rPr>
          <w:lang w:eastAsia="zh-CN"/>
        </w:rPr>
      </w:pPr>
      <w:r>
        <w:rPr>
          <w:spacing w:val="-2"/>
          <w:lang w:eastAsia="zh-CN"/>
        </w:rPr>
        <w:t>超出法定质疑期的、重复提出的、分次提出的或内容、形式不符合《政府采购质疑</w:t>
      </w:r>
      <w:r>
        <w:rPr>
          <w:lang w:eastAsia="zh-CN"/>
        </w:rPr>
        <w:t>和投诉办法》的，质疑供应商将依法承担不利后果。</w:t>
      </w:r>
    </w:p>
    <w:p>
      <w:pPr>
        <w:pStyle w:val="2"/>
        <w:spacing w:before="36" w:line="355" w:lineRule="auto"/>
        <w:ind w:right="198" w:firstLine="504"/>
        <w:rPr>
          <w:lang w:eastAsia="zh-CN"/>
        </w:rPr>
      </w:pPr>
      <w:r>
        <w:rPr>
          <w:lang w:eastAsia="zh-CN"/>
        </w:rPr>
        <w:t>37.3采购人或采购代理机构质疑函接收部门、联系电话和通讯地址,见</w:t>
      </w:r>
      <w:r>
        <w:rPr>
          <w:u w:val="single" w:color="000000"/>
          <w:lang w:eastAsia="zh-CN"/>
        </w:rPr>
        <w:t>供应商须知资料表。</w:t>
      </w:r>
    </w:p>
    <w:p>
      <w:pPr>
        <w:pStyle w:val="10"/>
        <w:spacing w:before="38"/>
        <w:ind w:right="211"/>
        <w:rPr>
          <w:b w:val="0"/>
          <w:bCs w:val="0"/>
          <w:lang w:eastAsia="zh-CN"/>
        </w:rPr>
      </w:pPr>
      <w:bookmarkStart w:id="45" w:name="38.项目其他相关费用"/>
      <w:bookmarkEnd w:id="45"/>
      <w:r>
        <w:rPr>
          <w:u w:val="single" w:color="000000"/>
          <w:lang w:eastAsia="zh-CN"/>
        </w:rPr>
        <w:t>38.项目其他相关费用</w:t>
      </w:r>
    </w:p>
    <w:p>
      <w:pPr>
        <w:pStyle w:val="2"/>
        <w:spacing w:before="151" w:line="358" w:lineRule="auto"/>
        <w:ind w:left="595"/>
        <w:rPr>
          <w:lang w:eastAsia="zh-CN"/>
        </w:rPr>
      </w:pPr>
      <w:r>
        <w:rPr>
          <w:lang w:eastAsia="zh-CN"/>
        </w:rPr>
        <w:t>38.1成交服务费 成交服务费收取标准：</w:t>
      </w:r>
      <w:r>
        <w:rPr>
          <w:u w:val="single" w:color="000000"/>
          <w:lang w:eastAsia="zh-CN"/>
        </w:rPr>
        <w:t>见供应商须知资料表。</w:t>
      </w:r>
    </w:p>
    <w:p>
      <w:pPr>
        <w:pStyle w:val="2"/>
        <w:spacing w:before="151" w:line="358" w:lineRule="auto"/>
        <w:ind w:left="595"/>
        <w:rPr>
          <w:lang w:eastAsia="zh-CN"/>
        </w:rPr>
      </w:pPr>
      <w:r>
        <w:rPr>
          <w:lang w:eastAsia="zh-CN"/>
        </w:rPr>
        <w:t>38.2公证费/见证律师费</w:t>
      </w:r>
    </w:p>
    <w:p>
      <w:pPr>
        <w:spacing w:before="36" w:line="358" w:lineRule="auto"/>
        <w:ind w:left="595"/>
        <w:rPr>
          <w:rFonts w:ascii="宋体" w:hAnsi="宋体" w:eastAsia="宋体" w:cs="宋体"/>
          <w:sz w:val="24"/>
          <w:szCs w:val="24"/>
          <w:lang w:eastAsia="zh-CN"/>
        </w:rPr>
      </w:pPr>
      <w:r>
        <w:rPr>
          <w:rFonts w:ascii="宋体" w:hAnsi="宋体" w:eastAsia="宋体" w:cs="宋体"/>
          <w:sz w:val="24"/>
          <w:szCs w:val="24"/>
          <w:lang w:eastAsia="zh-CN"/>
        </w:rPr>
        <w:t>公证费/见证律师费的收费标准：</w:t>
      </w:r>
      <w:r>
        <w:rPr>
          <w:rFonts w:ascii="宋体" w:hAnsi="宋体" w:eastAsia="宋体" w:cs="宋体"/>
          <w:sz w:val="24"/>
          <w:szCs w:val="24"/>
          <w:u w:val="single" w:color="000000"/>
          <w:lang w:eastAsia="zh-CN"/>
        </w:rPr>
        <w:t>见供应商须知资料表</w:t>
      </w:r>
      <w:r>
        <w:rPr>
          <w:rFonts w:ascii="宋体" w:hAnsi="宋体" w:eastAsia="宋体" w:cs="宋体"/>
          <w:sz w:val="24"/>
          <w:szCs w:val="24"/>
          <w:lang w:eastAsia="zh-CN"/>
        </w:rPr>
        <w:t>。</w:t>
      </w:r>
    </w:p>
    <w:p>
      <w:pPr>
        <w:spacing w:before="36" w:line="358" w:lineRule="auto"/>
        <w:ind w:left="595"/>
        <w:rPr>
          <w:rFonts w:ascii="宋体" w:hAnsi="宋体" w:eastAsia="宋体" w:cs="宋体"/>
          <w:sz w:val="29"/>
          <w:szCs w:val="29"/>
          <w:lang w:eastAsia="zh-CN"/>
        </w:rPr>
      </w:pPr>
      <w:r>
        <w:rPr>
          <w:rFonts w:ascii="宋体" w:hAnsi="宋体" w:eastAsia="宋体" w:cs="宋体"/>
          <w:sz w:val="24"/>
          <w:szCs w:val="24"/>
          <w:lang w:eastAsia="zh-CN"/>
        </w:rPr>
        <w:t>38.3政府采购专家评审费由采购人承担，按照山东省有关规定的标准执行</w:t>
      </w:r>
      <w:r>
        <w:rPr>
          <w:rFonts w:ascii="宋体" w:hAnsi="宋体" w:eastAsia="宋体" w:cs="宋体"/>
          <w:sz w:val="21"/>
          <w:szCs w:val="21"/>
          <w:lang w:eastAsia="zh-CN"/>
        </w:rPr>
        <w:t>。</w:t>
      </w:r>
    </w:p>
    <w:p>
      <w:pPr>
        <w:pStyle w:val="10"/>
        <w:spacing w:before="0"/>
        <w:ind w:right="211"/>
        <w:rPr>
          <w:b w:val="0"/>
          <w:bCs w:val="0"/>
          <w:lang w:eastAsia="zh-CN"/>
        </w:rPr>
      </w:pPr>
      <w:bookmarkStart w:id="46" w:name="39.磋商文件解释权"/>
      <w:bookmarkEnd w:id="46"/>
      <w:r>
        <w:rPr>
          <w:u w:val="single" w:color="000000"/>
          <w:lang w:eastAsia="zh-CN"/>
        </w:rPr>
        <w:t>39.磋商文件解释权</w:t>
      </w:r>
    </w:p>
    <w:p>
      <w:pPr>
        <w:spacing w:before="10"/>
        <w:rPr>
          <w:rFonts w:ascii="宋体" w:hAnsi="宋体" w:eastAsia="宋体" w:cs="宋体"/>
          <w:b/>
          <w:bCs/>
          <w:sz w:val="18"/>
          <w:szCs w:val="18"/>
          <w:lang w:eastAsia="zh-CN"/>
        </w:rPr>
      </w:pPr>
    </w:p>
    <w:p>
      <w:pPr>
        <w:pStyle w:val="2"/>
        <w:spacing w:before="26"/>
        <w:ind w:left="595" w:right="211"/>
        <w:rPr>
          <w:lang w:eastAsia="zh-CN"/>
        </w:rPr>
      </w:pPr>
      <w:r>
        <w:rPr>
          <w:u w:val="single" w:color="000000"/>
          <w:lang w:eastAsia="zh-CN"/>
        </w:rPr>
        <w:t>见供应商须知资料表</w:t>
      </w:r>
      <w:r>
        <w:rPr>
          <w:lang w:eastAsia="zh-CN"/>
        </w:rPr>
        <w:t>。</w:t>
      </w:r>
    </w:p>
    <w:p>
      <w:pPr>
        <w:rPr>
          <w:lang w:eastAsia="zh-CN"/>
        </w:rPr>
      </w:pPr>
    </w:p>
    <w:p>
      <w:pPr>
        <w:rPr>
          <w:lang w:eastAsia="zh-CN"/>
        </w:rPr>
      </w:pPr>
    </w:p>
    <w:p>
      <w:pPr>
        <w:pStyle w:val="2"/>
        <w:rPr>
          <w:lang w:eastAsia="zh-CN"/>
        </w:rPr>
        <w:sectPr>
          <w:footerReference r:id="rId7" w:type="default"/>
          <w:pgSz w:w="11910" w:h="16840"/>
          <w:pgMar w:top="1380" w:right="1200" w:bottom="1180" w:left="1300" w:header="992" w:footer="1000" w:gutter="0"/>
          <w:pgNumType w:fmt="decimal"/>
          <w:cols w:space="720" w:num="1"/>
        </w:sectPr>
      </w:pPr>
    </w:p>
    <w:p>
      <w:pPr>
        <w:rPr>
          <w:rFonts w:ascii="宋体" w:hAnsi="宋体" w:eastAsia="宋体" w:cs="宋体"/>
          <w:sz w:val="20"/>
          <w:szCs w:val="20"/>
          <w:lang w:eastAsia="zh-CN"/>
        </w:rPr>
      </w:pPr>
      <w:bookmarkStart w:id="47" w:name="附件2：履约担保函格式"/>
      <w:bookmarkEnd w:id="47"/>
    </w:p>
    <w:p>
      <w:pPr>
        <w:rPr>
          <w:rFonts w:ascii="宋体" w:hAnsi="宋体" w:eastAsia="宋体" w:cs="宋体"/>
          <w:sz w:val="20"/>
          <w:szCs w:val="20"/>
          <w:lang w:eastAsia="zh-CN"/>
        </w:rPr>
      </w:pPr>
    </w:p>
    <w:p>
      <w:pPr>
        <w:keepNext w:val="0"/>
        <w:keepLines w:val="0"/>
        <w:pageBreakBefore w:val="0"/>
        <w:widowControl w:val="0"/>
        <w:kinsoku/>
        <w:wordWrap/>
        <w:overflowPunct/>
        <w:topLinePunct w:val="0"/>
        <w:autoSpaceDE/>
        <w:autoSpaceDN/>
        <w:bidi w:val="0"/>
        <w:adjustRightInd/>
        <w:snapToGrid/>
        <w:spacing w:before="85" w:line="960" w:lineRule="exact"/>
        <w:ind w:firstLine="482" w:firstLineChars="100"/>
        <w:jc w:val="center"/>
        <w:textAlignment w:val="auto"/>
        <w:rPr>
          <w:rFonts w:ascii="宋体" w:hAnsi="宋体" w:eastAsia="宋体" w:cs="宋体"/>
          <w:sz w:val="48"/>
          <w:szCs w:val="48"/>
          <w:lang w:eastAsia="zh-CN"/>
        </w:rPr>
      </w:pPr>
      <w:r>
        <w:rPr>
          <w:rFonts w:hint="eastAsia" w:ascii="宋体" w:hAnsi="宋体" w:eastAsia="宋体" w:cs="宋体"/>
          <w:b/>
          <w:bCs/>
          <w:sz w:val="48"/>
          <w:szCs w:val="48"/>
          <w:lang w:eastAsia="zh-CN"/>
        </w:rPr>
        <w:t>山东省临沂卫生学校扩建项目图书信息综合楼电梯采购与安装项目</w:t>
      </w:r>
      <w:r>
        <w:rPr>
          <w:rFonts w:ascii="宋体" w:hAnsi="宋体" w:eastAsia="宋体" w:cs="宋体"/>
          <w:b/>
          <w:bCs/>
          <w:sz w:val="48"/>
          <w:szCs w:val="48"/>
          <w:lang w:eastAsia="zh-CN"/>
        </w:rPr>
        <w:t>政府采购竞争性磋商文件</w:t>
      </w:r>
    </w:p>
    <w:p>
      <w:pPr>
        <w:rPr>
          <w:rFonts w:ascii="宋体" w:hAnsi="宋体" w:eastAsia="宋体" w:cs="宋体"/>
          <w:b/>
          <w:bCs/>
          <w:sz w:val="48"/>
          <w:szCs w:val="48"/>
          <w:lang w:eastAsia="zh-CN"/>
        </w:rPr>
      </w:pPr>
    </w:p>
    <w:p>
      <w:pPr>
        <w:rPr>
          <w:rFonts w:ascii="宋体" w:hAnsi="宋体" w:eastAsia="宋体" w:cs="宋体"/>
          <w:b/>
          <w:bCs/>
          <w:sz w:val="48"/>
          <w:szCs w:val="48"/>
          <w:lang w:eastAsia="zh-CN"/>
        </w:rPr>
      </w:pPr>
    </w:p>
    <w:p>
      <w:pPr>
        <w:jc w:val="center"/>
        <w:rPr>
          <w:rFonts w:ascii="宋体" w:hAnsi="宋体" w:eastAsia="宋体" w:cs="宋体"/>
          <w:b/>
          <w:bCs/>
          <w:sz w:val="48"/>
          <w:szCs w:val="48"/>
        </w:rPr>
      </w:pPr>
    </w:p>
    <w:p>
      <w:pPr>
        <w:spacing w:before="2"/>
        <w:rPr>
          <w:rFonts w:ascii="宋体" w:hAnsi="宋体" w:eastAsia="宋体" w:cs="宋体"/>
          <w:b/>
          <w:bCs/>
          <w:sz w:val="59"/>
          <w:szCs w:val="59"/>
        </w:rPr>
      </w:pPr>
    </w:p>
    <w:p>
      <w:pPr>
        <w:pStyle w:val="4"/>
        <w:ind w:left="4000"/>
        <w:rPr>
          <w:b w:val="0"/>
          <w:bCs w:val="0"/>
          <w:lang w:eastAsia="zh-CN"/>
        </w:rPr>
      </w:pPr>
      <w:r>
        <w:rPr>
          <w:lang w:eastAsia="zh-CN"/>
        </w:rPr>
        <w:t>第</w:t>
      </w:r>
      <w:r>
        <w:rPr>
          <w:rFonts w:hint="eastAsia"/>
          <w:lang w:val="en-US" w:eastAsia="zh-CN"/>
        </w:rPr>
        <w:t>二</w:t>
      </w:r>
      <w:r>
        <w:rPr>
          <w:lang w:eastAsia="zh-CN"/>
        </w:rPr>
        <w:t>册</w:t>
      </w:r>
    </w:p>
    <w:p>
      <w:pPr>
        <w:rPr>
          <w:rFonts w:ascii="宋体" w:hAnsi="宋体" w:eastAsia="宋体" w:cs="宋体"/>
          <w:b/>
          <w:bCs/>
          <w:sz w:val="36"/>
          <w:szCs w:val="36"/>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ind w:left="1760" w:leftChars="800" w:right="0" w:firstLine="0" w:firstLineChars="0"/>
        <w:textAlignment w:val="auto"/>
        <w:rPr>
          <w:rFonts w:hint="default"/>
          <w:b w:val="0"/>
          <w:bCs w:val="0"/>
          <w:color w:val="FF0000"/>
          <w:lang w:val="en-US" w:eastAsia="zh-CN"/>
        </w:rPr>
      </w:pPr>
      <w:r>
        <w:rPr>
          <w:lang w:eastAsia="zh-CN"/>
        </w:rPr>
        <w:t>项目编号：</w:t>
      </w:r>
      <w:r>
        <w:rPr>
          <w:rFonts w:hint="eastAsia"/>
          <w:lang w:eastAsia="zh-CN"/>
        </w:rPr>
        <w:t>SDGP371300202102000662</w:t>
      </w:r>
    </w:p>
    <w:p>
      <w:pPr>
        <w:keepNext w:val="0"/>
        <w:keepLines w:val="0"/>
        <w:pageBreakBefore w:val="0"/>
        <w:widowControl w:val="0"/>
        <w:kinsoku/>
        <w:wordWrap/>
        <w:overflowPunct/>
        <w:topLinePunct w:val="0"/>
        <w:autoSpaceDE/>
        <w:autoSpaceDN/>
        <w:bidi w:val="0"/>
        <w:adjustRightInd/>
        <w:snapToGrid/>
        <w:spacing w:line="360" w:lineRule="auto"/>
        <w:ind w:leftChars="800" w:right="0"/>
        <w:textAlignment w:val="auto"/>
        <w:rPr>
          <w:rFonts w:hint="default" w:ascii="宋体" w:hAnsi="宋体" w:eastAsia="宋体" w:cs="宋体"/>
          <w:sz w:val="30"/>
          <w:szCs w:val="30"/>
          <w:lang w:val="en-US" w:eastAsia="zh-CN"/>
        </w:rPr>
      </w:pPr>
      <w:r>
        <w:rPr>
          <w:rFonts w:ascii="宋体" w:hAnsi="宋体" w:eastAsia="宋体" w:cs="宋体"/>
          <w:b/>
          <w:bCs/>
          <w:sz w:val="30"/>
          <w:szCs w:val="30"/>
          <w:lang w:eastAsia="zh-CN"/>
        </w:rPr>
        <w:t>项目包号：</w:t>
      </w:r>
      <w:r>
        <w:rPr>
          <w:rFonts w:hint="eastAsia" w:ascii="宋体" w:hAnsi="宋体" w:eastAsia="宋体" w:cs="宋体"/>
          <w:b/>
          <w:bCs/>
          <w:sz w:val="30"/>
          <w:szCs w:val="30"/>
          <w:lang w:val="en-US" w:eastAsia="zh-CN"/>
        </w:rPr>
        <w:t xml:space="preserve">    /</w:t>
      </w:r>
    </w:p>
    <w:p>
      <w:pPr>
        <w:spacing w:before="3"/>
        <w:rPr>
          <w:rFonts w:ascii="宋体" w:hAnsi="宋体" w:eastAsia="宋体" w:cs="宋体"/>
          <w:b/>
          <w:bCs/>
          <w:sz w:val="36"/>
          <w:szCs w:val="36"/>
          <w:lang w:eastAsia="zh-CN"/>
        </w:rPr>
      </w:pPr>
    </w:p>
    <w:p>
      <w:pPr>
        <w:pStyle w:val="2"/>
        <w:rPr>
          <w:rFonts w:ascii="宋体" w:hAnsi="宋体" w:eastAsia="宋体" w:cs="宋体"/>
          <w:b/>
          <w:bCs/>
          <w:sz w:val="36"/>
          <w:szCs w:val="36"/>
          <w:lang w:eastAsia="zh-CN"/>
        </w:rPr>
      </w:pPr>
    </w:p>
    <w:p>
      <w:pPr>
        <w:rPr>
          <w:lang w:eastAsia="zh-CN"/>
        </w:rPr>
      </w:pPr>
    </w:p>
    <w:p>
      <w:pPr>
        <w:spacing w:before="3"/>
        <w:rPr>
          <w:rFonts w:ascii="宋体" w:hAnsi="宋体" w:eastAsia="宋体" w:cs="宋体"/>
          <w:b/>
          <w:bCs/>
          <w:sz w:val="36"/>
          <w:szCs w:val="36"/>
          <w:lang w:eastAsia="zh-CN"/>
        </w:rPr>
      </w:pPr>
    </w:p>
    <w:p>
      <w:pPr>
        <w:pStyle w:val="2"/>
        <w:rPr>
          <w:rFonts w:ascii="宋体" w:hAnsi="宋体" w:eastAsia="宋体" w:cs="宋体"/>
          <w:b/>
          <w:bCs/>
          <w:sz w:val="36"/>
          <w:szCs w:val="36"/>
          <w:lang w:eastAsia="zh-CN"/>
        </w:rPr>
      </w:pPr>
    </w:p>
    <w:p>
      <w:pPr>
        <w:rPr>
          <w:rFonts w:ascii="宋体" w:hAnsi="宋体" w:eastAsia="宋体" w:cs="宋体"/>
          <w:b/>
          <w:bCs/>
          <w:sz w:val="36"/>
          <w:szCs w:val="36"/>
          <w:lang w:eastAsia="zh-CN"/>
        </w:rPr>
      </w:pPr>
    </w:p>
    <w:p>
      <w:pPr>
        <w:pStyle w:val="2"/>
        <w:rPr>
          <w:lang w:eastAsia="zh-CN"/>
        </w:rPr>
      </w:pPr>
    </w:p>
    <w:p>
      <w:pPr>
        <w:tabs>
          <w:tab w:val="left" w:pos="1819"/>
          <w:tab w:val="left" w:pos="2623"/>
        </w:tabs>
        <w:spacing w:line="358" w:lineRule="auto"/>
        <w:ind w:left="957" w:leftChars="435" w:firstLine="0" w:firstLineChars="0"/>
        <w:rPr>
          <w:rFonts w:hint="default" w:ascii="宋体" w:hAnsi="宋体" w:eastAsia="宋体" w:cs="宋体"/>
          <w:b/>
          <w:bCs/>
          <w:w w:val="90"/>
          <w:sz w:val="32"/>
          <w:szCs w:val="32"/>
          <w:u w:val="single"/>
          <w:lang w:val="en-US" w:eastAsia="zh-CN"/>
        </w:rPr>
      </w:pPr>
      <w:r>
        <w:rPr>
          <w:rFonts w:ascii="宋体" w:hAnsi="宋体" w:eastAsia="宋体" w:cs="宋体"/>
          <w:b/>
          <w:bCs/>
          <w:w w:val="95"/>
          <w:sz w:val="32"/>
          <w:szCs w:val="32"/>
          <w:lang w:eastAsia="zh-CN"/>
        </w:rPr>
        <w:t>采</w:t>
      </w:r>
      <w:r>
        <w:rPr>
          <w:rFonts w:hint="eastAsia" w:ascii="宋体" w:hAnsi="宋体" w:eastAsia="宋体" w:cs="宋体"/>
          <w:b/>
          <w:bCs/>
          <w:w w:val="95"/>
          <w:sz w:val="32"/>
          <w:szCs w:val="32"/>
          <w:lang w:val="en-US" w:eastAsia="zh-CN"/>
        </w:rPr>
        <w:t xml:space="preserve">  </w:t>
      </w:r>
      <w:r>
        <w:rPr>
          <w:rFonts w:ascii="宋体" w:hAnsi="宋体" w:eastAsia="宋体" w:cs="宋体"/>
          <w:b/>
          <w:bCs/>
          <w:w w:val="95"/>
          <w:sz w:val="32"/>
          <w:szCs w:val="32"/>
          <w:lang w:eastAsia="zh-CN"/>
        </w:rPr>
        <w:t>购</w:t>
      </w:r>
      <w:r>
        <w:rPr>
          <w:rFonts w:hint="eastAsia" w:ascii="宋体" w:hAnsi="宋体" w:eastAsia="宋体" w:cs="宋体"/>
          <w:b/>
          <w:bCs/>
          <w:w w:val="95"/>
          <w:sz w:val="32"/>
          <w:szCs w:val="32"/>
          <w:lang w:val="en-US" w:eastAsia="zh-CN"/>
        </w:rPr>
        <w:t xml:space="preserve">  </w:t>
      </w:r>
      <w:r>
        <w:rPr>
          <w:rFonts w:ascii="宋体" w:hAnsi="宋体" w:eastAsia="宋体" w:cs="宋体"/>
          <w:b/>
          <w:bCs/>
          <w:sz w:val="32"/>
          <w:szCs w:val="32"/>
          <w:lang w:eastAsia="zh-CN"/>
        </w:rPr>
        <w:t>人:</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pacing w:val="20"/>
          <w:w w:val="100"/>
          <w:sz w:val="32"/>
          <w:szCs w:val="32"/>
          <w:u w:val="single"/>
          <w:lang w:eastAsia="zh-CN"/>
        </w:rPr>
        <w:t>山东省临沂卫生学校</w:t>
      </w:r>
      <w:r>
        <w:rPr>
          <w:rFonts w:hint="eastAsia" w:ascii="宋体" w:hAnsi="宋体" w:eastAsia="宋体" w:cs="宋体"/>
          <w:b/>
          <w:bCs/>
          <w:spacing w:val="20"/>
          <w:w w:val="100"/>
          <w:sz w:val="32"/>
          <w:szCs w:val="32"/>
          <w:u w:val="single"/>
          <w:lang w:val="en-US" w:eastAsia="zh-CN"/>
        </w:rPr>
        <w:t xml:space="preserve"> </w:t>
      </w:r>
    </w:p>
    <w:p>
      <w:pPr>
        <w:tabs>
          <w:tab w:val="left" w:pos="1819"/>
          <w:tab w:val="left" w:pos="2623"/>
        </w:tabs>
        <w:spacing w:line="358" w:lineRule="auto"/>
        <w:ind w:left="957" w:leftChars="435" w:firstLine="0" w:firstLineChars="0"/>
        <w:rPr>
          <w:rFonts w:hint="default" w:ascii="宋体" w:hAnsi="宋体" w:eastAsia="宋体" w:cs="宋体"/>
          <w:b/>
          <w:bCs/>
          <w:w w:val="95"/>
          <w:sz w:val="32"/>
          <w:szCs w:val="32"/>
          <w:u w:val="single"/>
          <w:lang w:val="en-US" w:eastAsia="zh-CN"/>
        </w:rPr>
      </w:pPr>
      <w:r>
        <w:rPr>
          <w:rFonts w:ascii="宋体" w:hAnsi="宋体" w:eastAsia="宋体" w:cs="宋体"/>
          <w:b/>
          <w:bCs/>
          <w:w w:val="95"/>
          <w:sz w:val="32"/>
          <w:szCs w:val="32"/>
          <w:lang w:eastAsia="zh-CN"/>
        </w:rPr>
        <w:t>采购代理机构：</w:t>
      </w:r>
      <w:r>
        <w:rPr>
          <w:rFonts w:hint="eastAsia" w:ascii="宋体" w:hAnsi="宋体" w:eastAsia="宋体" w:cs="宋体"/>
          <w:b/>
          <w:bCs/>
          <w:w w:val="95"/>
          <w:sz w:val="32"/>
          <w:szCs w:val="32"/>
          <w:u w:val="single"/>
          <w:lang w:val="en-US" w:eastAsia="zh-CN"/>
        </w:rPr>
        <w:t>临沂正旭建设项目管理有限公司</w:t>
      </w:r>
    </w:p>
    <w:p>
      <w:pPr>
        <w:tabs>
          <w:tab w:val="left" w:pos="1819"/>
          <w:tab w:val="left" w:pos="2623"/>
        </w:tabs>
        <w:spacing w:line="357" w:lineRule="auto"/>
        <w:ind w:left="1012" w:right="1489" w:firstLine="4"/>
        <w:rPr>
          <w:rFonts w:ascii="宋体" w:hAnsi="宋体" w:eastAsia="宋体" w:cs="宋体"/>
          <w:color w:val="auto"/>
          <w:sz w:val="32"/>
          <w:szCs w:val="32"/>
          <w:lang w:eastAsia="zh-CN"/>
        </w:rPr>
      </w:pPr>
      <w:r>
        <w:rPr>
          <w:rFonts w:ascii="宋体" w:hAnsi="宋体" w:eastAsia="宋体" w:cs="宋体"/>
          <w:b/>
          <w:bCs/>
          <w:color w:val="auto"/>
          <w:sz w:val="32"/>
          <w:szCs w:val="32"/>
          <w:lang w:eastAsia="zh-CN"/>
        </w:rPr>
        <w:t>发出日期：2021年</w:t>
      </w:r>
      <w:r>
        <w:rPr>
          <w:rFonts w:hint="eastAsia" w:ascii="宋体" w:hAnsi="宋体" w:eastAsia="宋体" w:cs="宋体"/>
          <w:b/>
          <w:bCs/>
          <w:color w:val="auto"/>
          <w:sz w:val="32"/>
          <w:szCs w:val="32"/>
          <w:lang w:val="en-US" w:eastAsia="zh-CN"/>
        </w:rPr>
        <w:t>9</w:t>
      </w:r>
      <w:r>
        <w:rPr>
          <w:rFonts w:ascii="宋体" w:hAnsi="宋体" w:eastAsia="宋体" w:cs="宋体"/>
          <w:b/>
          <w:bCs/>
          <w:color w:val="auto"/>
          <w:sz w:val="32"/>
          <w:szCs w:val="32"/>
          <w:lang w:eastAsia="zh-CN"/>
        </w:rPr>
        <w:t>月</w:t>
      </w:r>
    </w:p>
    <w:p>
      <w:pPr>
        <w:spacing w:line="357" w:lineRule="auto"/>
        <w:rPr>
          <w:rFonts w:ascii="宋体" w:hAnsi="宋体" w:eastAsia="宋体" w:cs="宋体"/>
          <w:color w:val="auto"/>
          <w:sz w:val="32"/>
          <w:szCs w:val="32"/>
          <w:lang w:eastAsia="zh-CN"/>
        </w:rPr>
        <w:sectPr>
          <w:footerReference r:id="rId8" w:type="default"/>
          <w:pgSz w:w="11910" w:h="16840"/>
          <w:pgMar w:top="1580" w:right="1300" w:bottom="1180" w:left="1680" w:header="1134" w:footer="1000" w:gutter="0"/>
          <w:pgNumType w:fmt="decimal"/>
          <w:cols w:space="720" w:num="1"/>
        </w:sectPr>
      </w:pPr>
    </w:p>
    <w:p>
      <w:pPr>
        <w:spacing w:before="249" w:line="357" w:lineRule="auto"/>
        <w:ind w:left="1012" w:firstLine="4"/>
        <w:rPr>
          <w:rFonts w:ascii="宋体" w:hAnsi="宋体" w:eastAsia="宋体" w:cs="宋体"/>
          <w:sz w:val="32"/>
          <w:szCs w:val="32"/>
          <w:lang w:eastAsia="zh-CN"/>
        </w:rPr>
      </w:pPr>
    </w:p>
    <w:p>
      <w:pPr>
        <w:tabs>
          <w:tab w:val="left" w:pos="1822"/>
        </w:tabs>
        <w:spacing w:line="434" w:lineRule="exact"/>
        <w:ind w:left="920"/>
        <w:jc w:val="center"/>
        <w:rPr>
          <w:rFonts w:ascii="宋体" w:hAnsi="宋体" w:eastAsia="宋体" w:cs="宋体"/>
          <w:sz w:val="36"/>
          <w:szCs w:val="36"/>
          <w:lang w:eastAsia="zh-CN"/>
        </w:rPr>
      </w:pPr>
      <w:bookmarkStart w:id="48" w:name="_bookmark1"/>
      <w:bookmarkEnd w:id="48"/>
      <w:r>
        <w:rPr>
          <w:rFonts w:ascii="宋体" w:hAnsi="宋体" w:eastAsia="宋体" w:cs="宋体"/>
          <w:b/>
          <w:bCs/>
          <w:w w:val="95"/>
          <w:sz w:val="36"/>
          <w:szCs w:val="36"/>
          <w:lang w:eastAsia="zh-CN"/>
        </w:rPr>
        <w:t>目</w:t>
      </w:r>
      <w:r>
        <w:rPr>
          <w:rFonts w:ascii="宋体" w:hAnsi="宋体" w:eastAsia="宋体" w:cs="宋体"/>
          <w:b/>
          <w:bCs/>
          <w:w w:val="95"/>
          <w:sz w:val="36"/>
          <w:szCs w:val="36"/>
          <w:lang w:eastAsia="zh-CN"/>
        </w:rPr>
        <w:tab/>
      </w:r>
      <w:r>
        <w:rPr>
          <w:rFonts w:ascii="宋体" w:hAnsi="宋体" w:eastAsia="宋体" w:cs="宋体"/>
          <w:b/>
          <w:bCs/>
          <w:sz w:val="36"/>
          <w:szCs w:val="36"/>
          <w:lang w:eastAsia="zh-CN"/>
        </w:rPr>
        <w:t>录</w:t>
      </w:r>
    </w:p>
    <w:p>
      <w:pPr>
        <w:rPr>
          <w:rFonts w:ascii="宋体" w:hAnsi="宋体" w:eastAsia="宋体" w:cs="宋体"/>
          <w:b/>
          <w:bCs/>
          <w:sz w:val="20"/>
          <w:szCs w:val="20"/>
          <w:lang w:eastAsia="zh-CN"/>
        </w:rPr>
      </w:pPr>
    </w:p>
    <w:p>
      <w:pPr>
        <w:pStyle w:val="2"/>
        <w:spacing w:before="26"/>
        <w:rPr>
          <w:lang w:eastAsia="zh-CN"/>
        </w:rPr>
      </w:pPr>
      <w:r>
        <w:rPr>
          <w:lang w:eastAsia="zh-CN"/>
        </w:rPr>
        <w:t>第2章 采购邀请</w:t>
      </w:r>
    </w:p>
    <w:p>
      <w:pPr>
        <w:pStyle w:val="2"/>
        <w:spacing w:before="151"/>
        <w:rPr>
          <w:lang w:eastAsia="zh-CN"/>
        </w:rPr>
      </w:pPr>
      <w:r>
        <w:rPr>
          <w:lang w:eastAsia="zh-CN"/>
        </w:rPr>
        <w:t>第3章 供应商须知资料表</w:t>
      </w:r>
    </w:p>
    <w:p>
      <w:pPr>
        <w:pStyle w:val="2"/>
        <w:spacing w:line="357" w:lineRule="auto"/>
        <w:ind w:right="5071"/>
        <w:rPr>
          <w:lang w:eastAsia="zh-CN"/>
        </w:rPr>
      </w:pPr>
      <w:r>
        <w:rPr>
          <w:lang w:eastAsia="zh-CN"/>
        </w:rPr>
        <w:t xml:space="preserve">第4章 货物需求一览表及技术规格 </w:t>
      </w:r>
      <w:bookmarkStart w:id="49" w:name="第5章_评审方法和标准"/>
      <w:bookmarkEnd w:id="49"/>
      <w:r>
        <w:rPr>
          <w:lang w:eastAsia="zh-CN"/>
        </w:rPr>
        <w:t>第5章 评审方法和标准</w:t>
      </w:r>
    </w:p>
    <w:p>
      <w:pPr>
        <w:pStyle w:val="2"/>
        <w:spacing w:before="34"/>
        <w:rPr>
          <w:lang w:eastAsia="zh-CN"/>
        </w:rPr>
      </w:pPr>
      <w:bookmarkStart w:id="50" w:name="第6章_响应文件格式"/>
      <w:bookmarkEnd w:id="50"/>
      <w:r>
        <w:rPr>
          <w:lang w:eastAsia="zh-CN"/>
        </w:rPr>
        <w:t>第6章 响应文件格式</w:t>
      </w:r>
    </w:p>
    <w:p>
      <w:pPr>
        <w:pStyle w:val="2"/>
        <w:spacing w:before="151"/>
        <w:rPr>
          <w:lang w:eastAsia="zh-CN"/>
        </w:rPr>
      </w:pPr>
      <w:bookmarkStart w:id="51" w:name="第7章_政府采购合同格式"/>
      <w:bookmarkEnd w:id="51"/>
      <w:r>
        <w:rPr>
          <w:lang w:eastAsia="zh-CN"/>
        </w:rPr>
        <w:t>第7章 政府采购合同格式</w:t>
      </w:r>
    </w:p>
    <w:p>
      <w:pPr>
        <w:rPr>
          <w:lang w:eastAsia="zh-CN"/>
        </w:rPr>
      </w:pPr>
    </w:p>
    <w:p>
      <w:pPr>
        <w:pStyle w:val="2"/>
        <w:rPr>
          <w:lang w:eastAsia="zh-CN"/>
        </w:rPr>
        <w:sectPr>
          <w:footerReference r:id="rId9" w:type="default"/>
          <w:pgSz w:w="11910" w:h="16840"/>
          <w:pgMar w:top="1400" w:right="1680" w:bottom="1180" w:left="1300" w:header="992" w:footer="1000" w:gutter="0"/>
          <w:pgNumType w:fmt="decimal"/>
          <w:cols w:space="720" w:num="1"/>
        </w:sectPr>
      </w:pPr>
    </w:p>
    <w:p>
      <w:pPr>
        <w:pStyle w:val="5"/>
        <w:keepNext w:val="0"/>
        <w:keepLines w:val="0"/>
        <w:pageBreakBefore w:val="0"/>
        <w:widowControl w:val="0"/>
        <w:kinsoku/>
        <w:wordWrap/>
        <w:overflowPunct/>
        <w:topLinePunct w:val="0"/>
        <w:autoSpaceDE/>
        <w:autoSpaceDN/>
        <w:bidi w:val="0"/>
        <w:adjustRightInd/>
        <w:snapToGrid/>
        <w:spacing w:after="0" w:afterLines="100" w:line="390" w:lineRule="exact"/>
        <w:ind w:left="3753"/>
        <w:jc w:val="both"/>
        <w:textAlignment w:val="auto"/>
        <w:rPr>
          <w:b w:val="0"/>
          <w:bCs w:val="0"/>
        </w:rPr>
      </w:pPr>
      <w:bookmarkStart w:id="52" w:name="第2章_采购邀请"/>
      <w:bookmarkEnd w:id="52"/>
      <w:r>
        <w:t>第2章</w:t>
      </w:r>
      <w:r>
        <w:rPr>
          <w:rFonts w:hint="eastAsia"/>
          <w:lang w:val="en-US" w:eastAsia="zh-CN"/>
        </w:rPr>
        <w:t xml:space="preserve">  </w:t>
      </w:r>
      <w:r>
        <w:t>采购邀请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bookmarkStart w:id="53" w:name="第3章_供应商须知资料表"/>
      <w:bookmarkEnd w:id="53"/>
      <w:bookmarkStart w:id="54" w:name="一、采购人：临沂中小学生综合实践基地"/>
      <w:bookmarkEnd w:id="54"/>
      <w:r>
        <w:rPr>
          <w:rFonts w:hint="eastAsia" w:eastAsia="宋体"/>
          <w:sz w:val="24"/>
          <w:u w:val="single"/>
          <w:lang w:eastAsia="zh-CN"/>
        </w:rPr>
        <w:t>临沂正旭建设项目管理有限公司</w:t>
      </w:r>
      <w:r>
        <w:rPr>
          <w:rFonts w:hint="eastAsia" w:eastAsia="宋体"/>
          <w:sz w:val="24"/>
          <w:u w:val="single"/>
          <w:lang w:val="en-US" w:eastAsia="zh-CN"/>
        </w:rPr>
        <w:t xml:space="preserve"> </w:t>
      </w:r>
      <w:r>
        <w:rPr>
          <w:rFonts w:hint="eastAsia"/>
          <w:sz w:val="24"/>
        </w:rPr>
        <w:t>受</w:t>
      </w:r>
      <w:r>
        <w:rPr>
          <w:rFonts w:hint="eastAsia" w:eastAsia="宋体"/>
          <w:sz w:val="24"/>
          <w:lang w:val="en-US" w:eastAsia="zh-CN"/>
        </w:rPr>
        <w:t xml:space="preserve"> </w:t>
      </w:r>
      <w:r>
        <w:rPr>
          <w:rFonts w:hint="eastAsia"/>
          <w:sz w:val="24"/>
          <w:u w:val="single"/>
        </w:rPr>
        <w:t>山东省临沂卫生学校</w:t>
      </w:r>
      <w:r>
        <w:rPr>
          <w:rFonts w:hint="eastAsia" w:eastAsia="宋体"/>
          <w:sz w:val="24"/>
          <w:u w:val="single"/>
          <w:lang w:val="en-US" w:eastAsia="zh-CN"/>
        </w:rPr>
        <w:t xml:space="preserve"> </w:t>
      </w:r>
      <w:r>
        <w:rPr>
          <w:rFonts w:hint="eastAsia"/>
          <w:sz w:val="24"/>
        </w:rPr>
        <w:t>委托，对下述内容进行国内竞争性磋商。现邀请合格的供应商前来响应。</w:t>
      </w:r>
    </w:p>
    <w:p>
      <w:pPr>
        <w:spacing w:line="360" w:lineRule="auto"/>
        <w:rPr>
          <w:rFonts w:hint="eastAsia" w:eastAsia="宋体"/>
          <w:sz w:val="24"/>
          <w:lang w:eastAsia="zh-CN"/>
        </w:rPr>
      </w:pPr>
      <w:bookmarkStart w:id="55" w:name="OLE_LINK3"/>
      <w:r>
        <w:rPr>
          <w:rFonts w:hint="eastAsia"/>
          <w:sz w:val="24"/>
        </w:rPr>
        <w:t>一、采购单位：</w:t>
      </w:r>
      <w:r>
        <w:rPr>
          <w:rFonts w:hint="eastAsia" w:eastAsia="宋体"/>
          <w:sz w:val="24"/>
          <w:lang w:eastAsia="zh-CN"/>
        </w:rPr>
        <w:t>山东省临沂卫生学校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val="en-US" w:eastAsia="zh-CN"/>
        </w:rPr>
      </w:pPr>
      <w:r>
        <w:rPr>
          <w:rFonts w:hint="eastAsia"/>
          <w:sz w:val="24"/>
        </w:rPr>
        <w:t>地址：临沂市兰山区临西九路与聚才六路交汇处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highlight w:val="none"/>
          <w:lang w:val="en-US" w:eastAsia="zh-CN"/>
        </w:rPr>
      </w:pPr>
      <w:r>
        <w:rPr>
          <w:rFonts w:hint="eastAsia"/>
          <w:sz w:val="24"/>
          <w:highlight w:val="none"/>
        </w:rPr>
        <w:t>联系方式：0539-81</w:t>
      </w:r>
      <w:r>
        <w:rPr>
          <w:rFonts w:hint="eastAsia" w:eastAsia="宋体"/>
          <w:sz w:val="24"/>
          <w:highlight w:val="none"/>
          <w:lang w:val="en-US" w:eastAsia="zh-CN"/>
        </w:rPr>
        <w:t>93202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eastAsia="zh-CN"/>
        </w:rPr>
      </w:pPr>
      <w:r>
        <w:rPr>
          <w:rFonts w:hint="eastAsia"/>
          <w:sz w:val="24"/>
        </w:rPr>
        <w:t>采购代理机构：</w:t>
      </w:r>
      <w:r>
        <w:rPr>
          <w:rFonts w:hint="eastAsia" w:eastAsia="宋体"/>
          <w:sz w:val="24"/>
          <w:lang w:eastAsia="zh-CN"/>
        </w:rPr>
        <w:t>临沂正旭建设项目管理有限公司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地址：临沂市兰山区北京路与沭河路交汇处红日大厦807室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sz w:val="24"/>
        </w:rPr>
        <w:t>联系方式：</w:t>
      </w:r>
      <w:r>
        <w:rPr>
          <w:rFonts w:hint="eastAsia" w:eastAsia="宋体"/>
          <w:sz w:val="24"/>
          <w:lang w:val="en-US" w:eastAsia="zh-CN"/>
        </w:rPr>
        <w:t>18396713086</w:t>
      </w:r>
    </w:p>
    <w:p>
      <w:pPr>
        <w:numPr>
          <w:ilvl w:val="0"/>
          <w:numId w:val="2"/>
        </w:numPr>
        <w:spacing w:line="360" w:lineRule="auto"/>
        <w:ind w:left="480" w:hanging="480" w:hangingChars="200"/>
        <w:rPr>
          <w:rFonts w:hint="eastAsia"/>
          <w:sz w:val="24"/>
        </w:rPr>
      </w:pPr>
      <w:r>
        <w:rPr>
          <w:rFonts w:hint="eastAsia"/>
          <w:sz w:val="24"/>
        </w:rPr>
        <w:t>采购项目名称：</w:t>
      </w:r>
      <w:r>
        <w:rPr>
          <w:rFonts w:hint="eastAsia" w:eastAsia="宋体"/>
          <w:sz w:val="24"/>
          <w:lang w:eastAsia="zh-CN"/>
        </w:rPr>
        <w:t>山东省临沂卫生学校扩建项目图书信息综合楼电梯采购与安装项目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eastAsia="宋体"/>
          <w:sz w:val="24"/>
          <w:highlight w:val="yellow"/>
          <w:lang w:val="en-US" w:eastAsia="zh-CN"/>
        </w:rPr>
      </w:pPr>
      <w:r>
        <w:rPr>
          <w:rFonts w:hint="eastAsia"/>
          <w:sz w:val="24"/>
          <w:highlight w:val="none"/>
        </w:rPr>
        <w:t>采购项目编号（采购计划编号）：SDGP371300202102000662</w:t>
      </w:r>
    </w:p>
    <w:p>
      <w:pPr>
        <w:spacing w:line="360" w:lineRule="auto"/>
        <w:ind w:left="480" w:leftChars="218" w:firstLine="0" w:firstLineChars="0"/>
        <w:rPr>
          <w:rFonts w:hint="eastAsia"/>
          <w:sz w:val="24"/>
        </w:rPr>
      </w:pPr>
      <w:r>
        <w:rPr>
          <w:rFonts w:hint="eastAsia"/>
          <w:sz w:val="24"/>
        </w:rPr>
        <w:t>采购项目分包情况：</w:t>
      </w:r>
    </w:p>
    <w:tbl>
      <w:tblPr>
        <w:tblStyle w:val="23"/>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505"/>
        <w:gridCol w:w="445"/>
        <w:gridCol w:w="588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center"/>
          </w:tcPr>
          <w:p>
            <w:pPr>
              <w:widowControl/>
              <w:jc w:val="center"/>
              <w:rPr>
                <w:rFonts w:hint="eastAsia" w:ascii="宋体" w:hAnsi="宋体" w:cs="宋体"/>
                <w:sz w:val="24"/>
              </w:rPr>
            </w:pPr>
            <w:r>
              <w:rPr>
                <w:rFonts w:hint="eastAsia" w:ascii="宋体" w:hAnsi="宋体" w:cs="宋体"/>
                <w:color w:val="000000"/>
                <w:kern w:val="0"/>
                <w:sz w:val="24"/>
                <w:lang w:bidi="ar"/>
              </w:rPr>
              <w:t>标包</w:t>
            </w:r>
          </w:p>
        </w:tc>
        <w:tc>
          <w:tcPr>
            <w:tcW w:w="1505" w:type="dxa"/>
            <w:noWrap w:val="0"/>
            <w:vAlign w:val="center"/>
          </w:tcPr>
          <w:p>
            <w:pPr>
              <w:widowControl/>
              <w:jc w:val="center"/>
              <w:rPr>
                <w:rFonts w:hint="eastAsia" w:ascii="宋体" w:hAnsi="宋体" w:cs="宋体"/>
                <w:sz w:val="24"/>
              </w:rPr>
            </w:pPr>
            <w:r>
              <w:rPr>
                <w:rFonts w:hint="eastAsia" w:ascii="宋体" w:hAnsi="宋体" w:cs="宋体"/>
                <w:color w:val="000000"/>
                <w:kern w:val="0"/>
                <w:sz w:val="24"/>
                <w:lang w:bidi="ar"/>
              </w:rPr>
              <w:t>货物服务名称</w:t>
            </w:r>
          </w:p>
        </w:tc>
        <w:tc>
          <w:tcPr>
            <w:tcW w:w="445" w:type="dxa"/>
            <w:noWrap w:val="0"/>
            <w:vAlign w:val="center"/>
          </w:tcPr>
          <w:p>
            <w:pPr>
              <w:widowControl/>
              <w:jc w:val="center"/>
              <w:rPr>
                <w:rFonts w:hint="eastAsia" w:ascii="宋体" w:hAnsi="宋体" w:cs="宋体"/>
                <w:sz w:val="24"/>
              </w:rPr>
            </w:pPr>
            <w:r>
              <w:rPr>
                <w:rFonts w:hint="eastAsia" w:ascii="宋体" w:hAnsi="宋体" w:cs="宋体"/>
                <w:color w:val="000000"/>
                <w:kern w:val="0"/>
                <w:sz w:val="24"/>
                <w:lang w:bidi="ar"/>
              </w:rPr>
              <w:t>数量</w:t>
            </w:r>
          </w:p>
        </w:tc>
        <w:tc>
          <w:tcPr>
            <w:tcW w:w="5885" w:type="dxa"/>
            <w:noWrap w:val="0"/>
            <w:vAlign w:val="center"/>
          </w:tcPr>
          <w:p>
            <w:pPr>
              <w:widowControl/>
              <w:jc w:val="center"/>
              <w:rPr>
                <w:rFonts w:hint="eastAsia" w:ascii="宋体" w:hAnsi="宋体" w:cs="宋体"/>
                <w:sz w:val="24"/>
              </w:rPr>
            </w:pPr>
            <w:r>
              <w:rPr>
                <w:rFonts w:hint="eastAsia" w:ascii="宋体" w:hAnsi="宋体" w:cs="宋体"/>
                <w:color w:val="000000"/>
                <w:kern w:val="0"/>
                <w:sz w:val="24"/>
                <w:lang w:bidi="ar"/>
              </w:rPr>
              <w:t>供应商资格要求</w:t>
            </w:r>
          </w:p>
        </w:tc>
        <w:tc>
          <w:tcPr>
            <w:tcW w:w="1605" w:type="dxa"/>
            <w:noWrap w:val="0"/>
            <w:vAlign w:val="center"/>
          </w:tcPr>
          <w:p>
            <w:pPr>
              <w:widowControl/>
              <w:jc w:val="center"/>
              <w:rPr>
                <w:rFonts w:hint="eastAsia" w:ascii="宋体" w:hAnsi="宋体" w:cs="宋体"/>
                <w:sz w:val="24"/>
              </w:rPr>
            </w:pPr>
            <w:r>
              <w:rPr>
                <w:rFonts w:hint="eastAsia" w:ascii="宋体" w:hAnsi="宋体" w:cs="宋体"/>
                <w:color w:val="000000"/>
                <w:kern w:val="0"/>
                <w:sz w:val="24"/>
                <w:lang w:bidi="ar"/>
              </w:rPr>
              <w:t>本包预算金额（最高限价，单位：万元）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597" w:type="dxa"/>
            <w:noWrap w:val="0"/>
            <w:vAlign w:val="center"/>
          </w:tcPr>
          <w:p>
            <w:pPr>
              <w:widowControl/>
              <w:jc w:val="center"/>
              <w:rPr>
                <w:rFonts w:hint="eastAsia" w:ascii="宋体" w:hAnsi="宋体" w:eastAsia="宋体" w:cs="宋体"/>
                <w:sz w:val="24"/>
                <w:highlight w:val="none"/>
                <w:lang w:eastAsia="zh-CN"/>
              </w:rPr>
            </w:pPr>
            <w:r>
              <w:rPr>
                <w:rFonts w:hint="eastAsia" w:ascii="宋体" w:hAnsi="宋体" w:cs="宋体"/>
                <w:color w:val="000000"/>
                <w:kern w:val="0"/>
                <w:sz w:val="24"/>
                <w:highlight w:val="none"/>
                <w:lang w:val="en-US" w:eastAsia="zh-CN" w:bidi="ar"/>
              </w:rPr>
              <w:t>1</w:t>
            </w:r>
          </w:p>
        </w:tc>
        <w:tc>
          <w:tcPr>
            <w:tcW w:w="1505" w:type="dxa"/>
            <w:noWrap w:val="0"/>
            <w:vAlign w:val="center"/>
          </w:tcPr>
          <w:p>
            <w:pPr>
              <w:widowControl/>
              <w:jc w:val="center"/>
              <w:rPr>
                <w:rFonts w:hint="eastAsia" w:ascii="宋体" w:hAnsi="宋体" w:eastAsia="宋体" w:cs="宋体"/>
                <w:sz w:val="24"/>
                <w:highlight w:val="none"/>
                <w:lang w:eastAsia="zh-CN"/>
              </w:rPr>
            </w:pPr>
            <w:r>
              <w:rPr>
                <w:rFonts w:hint="eastAsia" w:eastAsia="宋体"/>
                <w:sz w:val="24"/>
                <w:highlight w:val="none"/>
                <w:lang w:eastAsia="zh-CN"/>
              </w:rPr>
              <w:t>山东省临沂卫生学校扩建项目图书信息综合楼电梯采购与安装项目</w:t>
            </w:r>
          </w:p>
        </w:tc>
        <w:tc>
          <w:tcPr>
            <w:tcW w:w="445" w:type="dxa"/>
            <w:noWrap w:val="0"/>
            <w:vAlign w:val="center"/>
          </w:tcPr>
          <w:p>
            <w:pPr>
              <w:widowControl/>
              <w:jc w:val="center"/>
              <w:rPr>
                <w:rFonts w:hint="eastAsia" w:ascii="宋体" w:hAnsi="宋体" w:eastAsia="宋体" w:cs="宋体"/>
                <w:sz w:val="24"/>
                <w:highlight w:val="none"/>
                <w:lang w:eastAsia="zh-CN"/>
              </w:rPr>
            </w:pPr>
            <w:r>
              <w:rPr>
                <w:rFonts w:hint="eastAsia" w:ascii="宋体" w:hAnsi="宋体" w:eastAsia="宋体" w:cs="宋体"/>
                <w:color w:val="000000"/>
                <w:kern w:val="0"/>
                <w:sz w:val="24"/>
                <w:highlight w:val="none"/>
                <w:lang w:val="en-US" w:eastAsia="zh-CN" w:bidi="ar"/>
              </w:rPr>
              <w:t>1</w:t>
            </w:r>
          </w:p>
        </w:tc>
        <w:tc>
          <w:tcPr>
            <w:tcW w:w="58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32"/>
                <w:highlight w:val="none"/>
              </w:rPr>
            </w:pPr>
            <w:r>
              <w:rPr>
                <w:rFonts w:hint="eastAsia" w:eastAsia="宋体"/>
                <w:sz w:val="24"/>
                <w:szCs w:val="32"/>
                <w:highlight w:val="none"/>
                <w:lang w:val="en-US" w:eastAsia="zh-CN"/>
              </w:rPr>
              <w:t>1.</w:t>
            </w:r>
            <w:r>
              <w:rPr>
                <w:rFonts w:hint="eastAsia"/>
                <w:sz w:val="24"/>
                <w:szCs w:val="32"/>
                <w:highlight w:val="none"/>
              </w:rPr>
              <w:t>满足《中华人民共和国政府采购法》第二十二条规定的供应商资格要求；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32"/>
                <w:highlight w:val="none"/>
              </w:rPr>
            </w:pPr>
            <w:r>
              <w:rPr>
                <w:rFonts w:hint="eastAsia" w:eastAsia="宋体"/>
                <w:sz w:val="24"/>
                <w:szCs w:val="32"/>
                <w:highlight w:val="none"/>
                <w:lang w:val="en-US" w:eastAsia="zh-CN"/>
              </w:rPr>
              <w:t>2.</w:t>
            </w:r>
            <w:r>
              <w:rPr>
                <w:rFonts w:hint="eastAsia"/>
                <w:sz w:val="24"/>
                <w:szCs w:val="32"/>
                <w:highlight w:val="none"/>
              </w:rPr>
              <w:t>供应商如为电梯制造商</w:t>
            </w:r>
            <w:r>
              <w:rPr>
                <w:rFonts w:hint="eastAsia"/>
                <w:sz w:val="24"/>
                <w:szCs w:val="32"/>
                <w:highlight w:val="none"/>
                <w:lang w:eastAsia="zh-CN"/>
              </w:rPr>
              <w:t>，</w:t>
            </w:r>
            <w:r>
              <w:rPr>
                <w:rFonts w:hint="eastAsia"/>
                <w:sz w:val="24"/>
                <w:szCs w:val="32"/>
                <w:highlight w:val="none"/>
              </w:rPr>
              <w:t>需具</w:t>
            </w:r>
            <w:r>
              <w:rPr>
                <w:rFonts w:hint="eastAsia"/>
                <w:sz w:val="24"/>
                <w:szCs w:val="32"/>
                <w:highlight w:val="none"/>
                <w:lang w:val="en-US" w:eastAsia="zh-CN"/>
              </w:rPr>
              <w:t>有</w:t>
            </w:r>
            <w:r>
              <w:rPr>
                <w:rFonts w:hint="eastAsia"/>
                <w:sz w:val="24"/>
                <w:szCs w:val="32"/>
                <w:highlight w:val="none"/>
              </w:rPr>
              <w:t>《中华人民共和国特种设备制造许可证</w:t>
            </w:r>
            <w:r>
              <w:rPr>
                <w:rFonts w:hint="eastAsia" w:ascii="宋体" w:hAnsi="宋体" w:cs="宋体"/>
                <w:color w:val="000000"/>
                <w:sz w:val="24"/>
                <w:szCs w:val="24"/>
                <w:highlight w:val="none"/>
              </w:rPr>
              <w:t>》</w:t>
            </w:r>
            <w:r>
              <w:rPr>
                <w:rFonts w:hint="eastAsia"/>
                <w:sz w:val="24"/>
                <w:szCs w:val="32"/>
                <w:highlight w:val="none"/>
              </w:rPr>
              <w:t>（电梯）A级（含）及以上资质及《中华人民共和国特种设备安装改造维修许可证</w:t>
            </w:r>
            <w:r>
              <w:rPr>
                <w:rFonts w:hint="eastAsia" w:ascii="宋体" w:hAnsi="宋体" w:cs="宋体"/>
                <w:color w:val="000000"/>
                <w:sz w:val="24"/>
                <w:szCs w:val="24"/>
                <w:highlight w:val="none"/>
              </w:rPr>
              <w:t>》</w:t>
            </w:r>
            <w:r>
              <w:rPr>
                <w:rFonts w:hint="eastAsia"/>
                <w:sz w:val="24"/>
                <w:szCs w:val="32"/>
                <w:highlight w:val="none"/>
              </w:rPr>
              <w:t>（电梯）B级（含）及以上资质</w:t>
            </w:r>
            <w:r>
              <w:rPr>
                <w:rFonts w:hint="eastAsia" w:eastAsia="宋体"/>
                <w:sz w:val="24"/>
                <w:szCs w:val="32"/>
                <w:highlight w:val="none"/>
                <w:lang w:eastAsia="zh-CN"/>
              </w:rPr>
              <w:t>；</w:t>
            </w:r>
            <w:r>
              <w:rPr>
                <w:rFonts w:hint="eastAsia"/>
                <w:sz w:val="24"/>
                <w:szCs w:val="32"/>
                <w:highlight w:val="none"/>
              </w:rPr>
              <w:t>若供应商为代理商的需具备《中华人民共和国特种设备安装改造维修许可证</w:t>
            </w:r>
            <w:r>
              <w:rPr>
                <w:rFonts w:hint="eastAsia" w:ascii="宋体" w:hAnsi="宋体" w:cs="宋体"/>
                <w:color w:val="000000"/>
                <w:sz w:val="24"/>
                <w:szCs w:val="24"/>
                <w:highlight w:val="none"/>
              </w:rPr>
              <w:t>》（电梯）B级（含）及以上资质</w:t>
            </w:r>
            <w:r>
              <w:rPr>
                <w:rFonts w:hint="eastAsia"/>
                <w:sz w:val="24"/>
                <w:szCs w:val="32"/>
                <w:highlight w:val="none"/>
              </w:rPr>
              <w:t>且投标产品</w:t>
            </w:r>
            <w:r>
              <w:rPr>
                <w:rFonts w:hint="eastAsia" w:eastAsia="宋体"/>
                <w:sz w:val="24"/>
                <w:szCs w:val="32"/>
                <w:highlight w:val="none"/>
                <w:lang w:val="en-US" w:eastAsia="zh-CN"/>
              </w:rPr>
              <w:t>制造商须</w:t>
            </w:r>
            <w:r>
              <w:rPr>
                <w:rFonts w:hint="eastAsia"/>
                <w:sz w:val="24"/>
                <w:szCs w:val="32"/>
                <w:highlight w:val="none"/>
              </w:rPr>
              <w:t>具备《中华人民共和国特种设备制造许可证</w:t>
            </w:r>
            <w:r>
              <w:rPr>
                <w:rFonts w:hint="eastAsia" w:ascii="宋体" w:hAnsi="宋体" w:cs="宋体"/>
                <w:color w:val="000000"/>
                <w:sz w:val="24"/>
                <w:szCs w:val="24"/>
                <w:highlight w:val="none"/>
              </w:rPr>
              <w:t>》</w:t>
            </w:r>
            <w:r>
              <w:rPr>
                <w:rFonts w:hint="eastAsia"/>
                <w:sz w:val="24"/>
                <w:szCs w:val="32"/>
                <w:highlight w:val="none"/>
              </w:rPr>
              <w:t>（电梯）A级（含）及以上资质；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32"/>
                <w:highlight w:val="none"/>
              </w:rPr>
            </w:pPr>
            <w:r>
              <w:rPr>
                <w:rFonts w:hint="eastAsia" w:eastAsia="宋体"/>
                <w:sz w:val="24"/>
                <w:szCs w:val="32"/>
                <w:highlight w:val="none"/>
                <w:lang w:val="en-US" w:eastAsia="zh-CN"/>
              </w:rPr>
              <w:t>3.</w:t>
            </w:r>
            <w:r>
              <w:rPr>
                <w:rFonts w:hint="eastAsia"/>
                <w:sz w:val="24"/>
                <w:szCs w:val="32"/>
                <w:highlight w:val="none"/>
              </w:rPr>
              <w:t>投标人须在“山东省政府采购信息公开平台”投标备案和“临沂市公共资源交易中心”办理诚信入库、CA 实名认证并针对本项目进行网上下载操作；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32"/>
                <w:highlight w:val="none"/>
              </w:rPr>
            </w:pPr>
            <w:r>
              <w:rPr>
                <w:rFonts w:hint="eastAsia" w:eastAsia="宋体"/>
                <w:sz w:val="24"/>
                <w:szCs w:val="32"/>
                <w:highlight w:val="none"/>
                <w:lang w:val="en-US" w:eastAsia="zh-CN"/>
              </w:rPr>
              <w:t>4.</w:t>
            </w:r>
            <w:r>
              <w:rPr>
                <w:rFonts w:hint="eastAsia"/>
                <w:sz w:val="24"/>
                <w:szCs w:val="32"/>
                <w:highlight w:val="none"/>
              </w:rPr>
              <w:t>参加政府采购活动前三年内，在经营活动中没有重大违法记录，且未被列入“信用中国”网站(www.creditchina.gov.cn）失信被执行人、重大税收违法案件当事人名单，中国政府采购网（www.ccgp.gov.cn）政府采购严重违法失信行为记录名单以及提供在“中国裁判文书网”（http://wenshu.court.gov.cn/）无行贿记录证明；</w:t>
            </w:r>
          </w:p>
          <w:p>
            <w:pPr>
              <w:widowControl/>
              <w:spacing w:line="480" w:lineRule="exact"/>
              <w:ind w:right="-121" w:rightChars="-55"/>
              <w:jc w:val="left"/>
              <w:rPr>
                <w:rFonts w:hint="default" w:ascii="宋体" w:hAnsi="宋体" w:cs="宋体"/>
                <w:highlight w:val="none"/>
                <w:lang w:val="en-US" w:eastAsia="zh-CN"/>
              </w:rPr>
            </w:pPr>
            <w:r>
              <w:rPr>
                <w:rFonts w:hint="eastAsia" w:eastAsia="宋体"/>
                <w:sz w:val="24"/>
                <w:szCs w:val="32"/>
                <w:highlight w:val="none"/>
                <w:lang w:val="en-US" w:eastAsia="zh-CN"/>
              </w:rPr>
              <w:t>5.</w:t>
            </w:r>
            <w:r>
              <w:rPr>
                <w:rFonts w:hint="eastAsia" w:ascii="宋体" w:hAnsi="宋体"/>
                <w:sz w:val="24"/>
                <w:highlight w:val="none"/>
                <w:lang w:eastAsia="zh-CN"/>
              </w:rPr>
              <w:t>供应商</w:t>
            </w:r>
            <w:r>
              <w:rPr>
                <w:rFonts w:hint="eastAsia" w:ascii="宋体" w:hAnsi="宋体"/>
                <w:sz w:val="24"/>
                <w:highlight w:val="none"/>
              </w:rPr>
              <w:t>具有投资参股关系的关联企业，或具有直接管理和被管理关系的母子公司，或同一母公司的子公司，或法定代表人为同一人的两个或两个以上法人不得同时</w:t>
            </w:r>
            <w:r>
              <w:rPr>
                <w:rFonts w:hint="eastAsia" w:ascii="宋体" w:hAnsi="宋体"/>
                <w:sz w:val="24"/>
                <w:highlight w:val="none"/>
                <w:lang w:eastAsia="zh-CN"/>
              </w:rPr>
              <w:t>参与</w:t>
            </w:r>
            <w:r>
              <w:rPr>
                <w:rFonts w:hint="eastAsia" w:ascii="宋体" w:hAnsi="宋体"/>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32"/>
                <w:highlight w:val="none"/>
              </w:rPr>
            </w:pPr>
            <w:r>
              <w:rPr>
                <w:rFonts w:hint="eastAsia" w:eastAsia="宋体"/>
                <w:sz w:val="24"/>
                <w:szCs w:val="32"/>
                <w:highlight w:val="none"/>
                <w:lang w:val="en-US" w:eastAsia="zh-CN"/>
              </w:rPr>
              <w:t>6.</w:t>
            </w:r>
            <w:r>
              <w:rPr>
                <w:rFonts w:hint="eastAsia"/>
                <w:sz w:val="24"/>
                <w:szCs w:val="32"/>
                <w:highlight w:val="none"/>
              </w:rPr>
              <w:t>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color w:val="000000"/>
                <w:kern w:val="0"/>
                <w:sz w:val="24"/>
                <w:highlight w:val="none"/>
                <w:lang w:bidi="ar"/>
              </w:rPr>
            </w:pPr>
            <w:r>
              <w:rPr>
                <w:rFonts w:hint="eastAsia" w:eastAsia="宋体"/>
                <w:sz w:val="24"/>
                <w:szCs w:val="32"/>
                <w:highlight w:val="none"/>
                <w:lang w:val="en-US" w:eastAsia="zh-CN"/>
              </w:rPr>
              <w:t>7.</w:t>
            </w:r>
            <w:r>
              <w:rPr>
                <w:rFonts w:hint="eastAsia"/>
                <w:sz w:val="24"/>
                <w:szCs w:val="32"/>
                <w:highlight w:val="none"/>
              </w:rPr>
              <w:t>法律法规及磋商文件规定的其他条件。</w:t>
            </w:r>
          </w:p>
        </w:tc>
        <w:tc>
          <w:tcPr>
            <w:tcW w:w="1605" w:type="dxa"/>
            <w:noWrap w:val="0"/>
            <w:vAlign w:val="center"/>
          </w:tcPr>
          <w:p>
            <w:pPr>
              <w:widowControl/>
              <w:spacing w:line="432"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招标控制价62.2万元</w:t>
            </w:r>
          </w:p>
        </w:tc>
      </w:tr>
      <w:bookmarkEnd w:id="55"/>
    </w:tbl>
    <w:p>
      <w:pPr>
        <w:keepNext w:val="0"/>
        <w:keepLines w:val="0"/>
        <w:pageBreakBefore w:val="0"/>
        <w:widowControl/>
        <w:numPr>
          <w:ilvl w:val="0"/>
          <w:numId w:val="0"/>
        </w:numPr>
        <w:kinsoku/>
        <w:wordWrap/>
        <w:overflowPunct/>
        <w:topLinePunct w:val="0"/>
        <w:bidi w:val="0"/>
        <w:adjustRightInd w:val="0"/>
        <w:snapToGrid w:val="0"/>
        <w:spacing w:line="480" w:lineRule="exact"/>
        <w:jc w:val="left"/>
        <w:textAlignment w:val="auto"/>
        <w:rPr>
          <w:rFonts w:hint="eastAsia"/>
          <w:highlight w:val="none"/>
        </w:rPr>
      </w:pPr>
      <w:r>
        <w:rPr>
          <w:rFonts w:hint="eastAsia" w:ascii="宋体" w:hAnsi="宋体" w:cs="宋体"/>
          <w:kern w:val="0"/>
          <w:sz w:val="24"/>
          <w:szCs w:val="24"/>
          <w:highlight w:val="none"/>
          <w:lang w:val="en-US" w:eastAsia="zh-CN"/>
        </w:rPr>
        <w:t>三、</w:t>
      </w:r>
      <w:r>
        <w:rPr>
          <w:rFonts w:hint="eastAsia" w:ascii="宋体" w:hAnsi="宋体" w:cs="宋体"/>
          <w:kern w:val="0"/>
          <w:sz w:val="24"/>
          <w:szCs w:val="24"/>
          <w:highlight w:val="none"/>
        </w:rPr>
        <w:t>需求公示（见附件）</w:t>
      </w:r>
    </w:p>
    <w:p>
      <w:pPr>
        <w:keepNext w:val="0"/>
        <w:keepLines w:val="0"/>
        <w:pageBreakBefore w:val="0"/>
        <w:widowControl/>
        <w:kinsoku/>
        <w:wordWrap/>
        <w:overflowPunct/>
        <w:topLinePunct w:val="0"/>
        <w:bidi w:val="0"/>
        <w:adjustRightInd w:val="0"/>
        <w:snapToGrid w:val="0"/>
        <w:spacing w:line="480" w:lineRule="exact"/>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四、获取</w:t>
      </w:r>
      <w:r>
        <w:rPr>
          <w:rFonts w:hint="eastAsia" w:ascii="宋体" w:hAnsi="宋体" w:cs="宋体"/>
          <w:kern w:val="0"/>
          <w:sz w:val="24"/>
          <w:szCs w:val="24"/>
          <w:highlight w:val="none"/>
          <w:lang w:val="en-US" w:eastAsia="zh-CN"/>
        </w:rPr>
        <w:t>磋商</w:t>
      </w:r>
      <w:r>
        <w:rPr>
          <w:rFonts w:hint="eastAsia" w:ascii="宋体" w:hAnsi="宋体" w:cs="宋体"/>
          <w:kern w:val="0"/>
          <w:sz w:val="24"/>
          <w:szCs w:val="24"/>
          <w:highlight w:val="none"/>
        </w:rPr>
        <w:t>文件：</w:t>
      </w:r>
    </w:p>
    <w:p>
      <w:pPr>
        <w:keepNext w:val="0"/>
        <w:keepLines w:val="0"/>
        <w:pageBreakBefore w:val="0"/>
        <w:widowControl/>
        <w:kinsoku/>
        <w:wordWrap/>
        <w:overflowPunct/>
        <w:topLinePunct w:val="0"/>
        <w:bidi w:val="0"/>
        <w:adjustRightInd w:val="0"/>
        <w:snapToGrid w:val="0"/>
        <w:spacing w:line="480" w:lineRule="exact"/>
        <w:jc w:val="left"/>
        <w:textAlignment w:val="auto"/>
        <w:rPr>
          <w:rFonts w:hint="eastAsia" w:ascii="宋体" w:hAnsi="宋体" w:cs="宋体"/>
          <w:kern w:val="0"/>
          <w:sz w:val="24"/>
          <w:szCs w:val="24"/>
          <w:highlight w:val="none"/>
        </w:rPr>
      </w:pPr>
      <w:r>
        <w:rPr>
          <w:rFonts w:hint="eastAsia" w:ascii="宋体" w:hAnsi="宋体" w:cs="宋体"/>
          <w:color w:val="auto"/>
          <w:kern w:val="0"/>
          <w:sz w:val="24"/>
          <w:szCs w:val="24"/>
          <w:highlight w:val="none"/>
        </w:rPr>
        <w:t>1、时间：</w:t>
      </w:r>
      <w:r>
        <w:rPr>
          <w:rFonts w:hint="eastAsia" w:ascii="宋体" w:hAnsi="宋体" w:cs="宋体"/>
          <w:color w:val="auto"/>
          <w:kern w:val="0"/>
          <w:sz w:val="24"/>
          <w:szCs w:val="24"/>
          <w:highlight w:val="none"/>
          <w:lang w:val="zh-CN"/>
        </w:rPr>
        <w:t>202</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16</w:t>
      </w:r>
      <w:r>
        <w:rPr>
          <w:rFonts w:hint="eastAsia" w:ascii="宋体" w:hAnsi="宋体" w:cs="宋体"/>
          <w:color w:val="auto"/>
          <w:kern w:val="0"/>
          <w:sz w:val="24"/>
          <w:szCs w:val="24"/>
          <w:highlight w:val="none"/>
          <w:lang w:val="zh-CN"/>
        </w:rPr>
        <w:t>日0</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val="zh-CN"/>
        </w:rPr>
        <w:t>时</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rPr>
        <w:t>0分至202</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zh-CN"/>
        </w:rPr>
        <w:t>17时00分</w:t>
      </w:r>
      <w:r>
        <w:rPr>
          <w:rFonts w:hint="eastAsia" w:ascii="宋体" w:hAnsi="宋体" w:cs="宋体"/>
          <w:color w:val="auto"/>
          <w:sz w:val="24"/>
          <w:szCs w:val="24"/>
          <w:highlight w:val="none"/>
          <w:shd w:val="clear" w:color="auto" w:fill="FFFFFF"/>
        </w:rPr>
        <w:t>（北京时间，法定</w:t>
      </w:r>
      <w:r>
        <w:rPr>
          <w:rFonts w:hint="eastAsia" w:ascii="宋体" w:hAnsi="宋体" w:cs="宋体"/>
          <w:sz w:val="24"/>
          <w:szCs w:val="24"/>
          <w:highlight w:val="none"/>
          <w:shd w:val="clear" w:color="auto" w:fill="FFFFFF"/>
        </w:rPr>
        <w:t>节假日除外）</w:t>
      </w:r>
    </w:p>
    <w:p>
      <w:pPr>
        <w:keepNext w:val="0"/>
        <w:keepLines w:val="0"/>
        <w:pageBreakBefore w:val="0"/>
        <w:kinsoku/>
        <w:wordWrap/>
        <w:overflowPunct/>
        <w:topLinePunct w:val="0"/>
        <w:bidi w:val="0"/>
        <w:spacing w:line="480" w:lineRule="exact"/>
        <w:textAlignment w:val="auto"/>
        <w:rPr>
          <w:rFonts w:hint="eastAsia" w:ascii="宋体" w:hAnsi="宋体" w:cs="宋体"/>
          <w:sz w:val="24"/>
          <w:szCs w:val="24"/>
          <w:highlight w:val="none"/>
          <w:shd w:val="clear" w:color="auto" w:fill="FFFFFF"/>
        </w:rPr>
      </w:pPr>
      <w:r>
        <w:rPr>
          <w:rFonts w:hint="eastAsia" w:ascii="宋体" w:hAnsi="宋体" w:cs="宋体"/>
          <w:kern w:val="0"/>
          <w:sz w:val="24"/>
          <w:szCs w:val="24"/>
          <w:highlight w:val="none"/>
        </w:rPr>
        <w:t>2、地点：临沂市公共资源交易网(http://ggzyjy.linyi.gov.cn)及山东省政府采购信息公开平台（http://www.ccgp-shandong.gov.cn）。</w:t>
      </w:r>
    </w:p>
    <w:p>
      <w:pPr>
        <w:keepNext w:val="0"/>
        <w:keepLines w:val="0"/>
        <w:pageBreakBefore w:val="0"/>
        <w:kinsoku/>
        <w:wordWrap/>
        <w:overflowPunct/>
        <w:topLinePunct w:val="0"/>
        <w:bidi w:val="0"/>
        <w:spacing w:line="480" w:lineRule="exact"/>
        <w:textAlignment w:val="auto"/>
        <w:rPr>
          <w:rFonts w:hint="eastAsia" w:ascii="宋体" w:hAnsi="宋体" w:cs="宋体"/>
          <w:bCs/>
          <w:sz w:val="24"/>
          <w:szCs w:val="24"/>
          <w:highlight w:val="none"/>
        </w:rPr>
      </w:pPr>
      <w:r>
        <w:rPr>
          <w:rFonts w:hint="eastAsia" w:ascii="宋体" w:hAnsi="宋体" w:cs="宋体"/>
          <w:kern w:val="0"/>
          <w:sz w:val="24"/>
          <w:szCs w:val="24"/>
          <w:highlight w:val="none"/>
        </w:rPr>
        <w:t>3、方式：</w:t>
      </w:r>
      <w:r>
        <w:rPr>
          <w:rFonts w:hint="eastAsia" w:ascii="宋体" w:hAnsi="宋体" w:cs="宋体"/>
          <w:sz w:val="24"/>
          <w:highlight w:val="none"/>
        </w:rPr>
        <w:t>①到临沂市公共资源交易中心（http://ggzyjy.linyi.gov.cn）办理CA认证、诚信入库并下载招标文件，必须同时在中国山东政府采购网（http://www.ccgp-shandong.gov.cn）针对本项目投标备案。②潜在投标申请人应自行关注临沂市公共资源交易平台，因自身贻误行为导致未成功获取招标文件及补充（答疑、澄清）文件及未在中国山东政府采购网针对本项目投标备案的，责任自负</w:t>
      </w:r>
      <w:r>
        <w:rPr>
          <w:rFonts w:hint="eastAsia" w:ascii="宋体" w:hAnsi="宋体" w:cs="宋体"/>
          <w:sz w:val="24"/>
          <w:highlight w:val="none"/>
          <w:lang w:eastAsia="zh-CN"/>
        </w:rPr>
        <w:t>。</w:t>
      </w:r>
    </w:p>
    <w:p>
      <w:pPr>
        <w:keepNext w:val="0"/>
        <w:keepLines w:val="0"/>
        <w:pageBreakBefore w:val="0"/>
        <w:widowControl/>
        <w:kinsoku/>
        <w:wordWrap/>
        <w:overflowPunct/>
        <w:topLinePunct w:val="0"/>
        <w:bidi w:val="0"/>
        <w:adjustRightInd w:val="0"/>
        <w:snapToGrid w:val="0"/>
        <w:spacing w:line="480" w:lineRule="exact"/>
        <w:jc w:val="left"/>
        <w:textAlignment w:val="auto"/>
        <w:rPr>
          <w:rFonts w:hint="eastAsia" w:ascii="宋体" w:hAnsi="宋体" w:cs="宋体"/>
          <w:sz w:val="24"/>
          <w:szCs w:val="24"/>
          <w:highlight w:val="none"/>
        </w:rPr>
      </w:pPr>
      <w:r>
        <w:rPr>
          <w:rFonts w:hint="eastAsia" w:ascii="宋体" w:hAnsi="宋体" w:cs="宋体"/>
          <w:kern w:val="0"/>
          <w:sz w:val="24"/>
          <w:szCs w:val="24"/>
          <w:highlight w:val="none"/>
        </w:rPr>
        <w:t>4、售价：</w:t>
      </w:r>
      <w:r>
        <w:rPr>
          <w:rFonts w:hint="eastAsia" w:ascii="宋体" w:hAnsi="宋体" w:cs="宋体"/>
          <w:sz w:val="24"/>
          <w:szCs w:val="24"/>
          <w:highlight w:val="none"/>
        </w:rPr>
        <w:t>0元/包，售后不退。</w:t>
      </w:r>
    </w:p>
    <w:p>
      <w:pPr>
        <w:pStyle w:val="41"/>
        <w:keepNext w:val="0"/>
        <w:keepLines w:val="0"/>
        <w:pageBreakBefore w:val="0"/>
        <w:kinsoku/>
        <w:wordWrap/>
        <w:overflowPunct/>
        <w:topLinePunct w:val="0"/>
        <w:bidi w:val="0"/>
        <w:spacing w:line="480" w:lineRule="exact"/>
        <w:textAlignment w:val="auto"/>
        <w:rPr>
          <w:rFonts w:hint="eastAsia"/>
          <w:color w:val="auto"/>
          <w:highlight w:val="none"/>
        </w:rPr>
      </w:pPr>
      <w:r>
        <w:rPr>
          <w:rFonts w:hint="eastAsia"/>
          <w:color w:val="auto"/>
          <w:highlight w:val="none"/>
        </w:rPr>
        <w:t>五、公告期限：2021年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16</w:t>
      </w:r>
      <w:r>
        <w:rPr>
          <w:rFonts w:hint="eastAsia"/>
          <w:color w:val="auto"/>
          <w:highlight w:val="none"/>
        </w:rPr>
        <w:t>日至2021年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p>
    <w:p>
      <w:pPr>
        <w:keepNext w:val="0"/>
        <w:keepLines w:val="0"/>
        <w:pageBreakBefore w:val="0"/>
        <w:widowControl/>
        <w:kinsoku/>
        <w:wordWrap/>
        <w:overflowPunct/>
        <w:topLinePunct w:val="0"/>
        <w:bidi w:val="0"/>
        <w:adjustRightInd w:val="0"/>
        <w:snapToGrid w:val="0"/>
        <w:spacing w:line="480" w:lineRule="exact"/>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六、递交</w:t>
      </w:r>
      <w:r>
        <w:rPr>
          <w:rFonts w:hint="eastAsia" w:ascii="宋体" w:hAnsi="宋体" w:cs="宋体"/>
          <w:kern w:val="0"/>
          <w:sz w:val="24"/>
          <w:szCs w:val="24"/>
          <w:highlight w:val="none"/>
          <w:lang w:val="en-US" w:eastAsia="zh-CN"/>
        </w:rPr>
        <w:t>响应</w:t>
      </w:r>
      <w:r>
        <w:rPr>
          <w:rFonts w:hint="eastAsia" w:ascii="宋体" w:hAnsi="宋体" w:cs="宋体"/>
          <w:kern w:val="0"/>
          <w:sz w:val="24"/>
          <w:szCs w:val="24"/>
          <w:highlight w:val="none"/>
        </w:rPr>
        <w:t>文件时间及地点：</w:t>
      </w:r>
    </w:p>
    <w:p>
      <w:pPr>
        <w:keepNext w:val="0"/>
        <w:keepLines w:val="0"/>
        <w:pageBreakBefore w:val="0"/>
        <w:shd w:val="clear" w:color="auto" w:fill="FFFFFF"/>
        <w:kinsoku/>
        <w:wordWrap/>
        <w:overflowPunct/>
        <w:topLinePunct w:val="0"/>
        <w:bidi w:val="0"/>
        <w:spacing w:line="48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1、时间：202</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val="zh-CN"/>
        </w:rPr>
        <w:t>月</w:t>
      </w:r>
      <w:r>
        <w:rPr>
          <w:rFonts w:hint="eastAsia" w:ascii="宋体" w:hAnsi="宋体" w:eastAsia="宋体" w:cs="宋体"/>
          <w:color w:val="auto"/>
          <w:kern w:val="0"/>
          <w:sz w:val="24"/>
          <w:szCs w:val="24"/>
          <w:highlight w:val="none"/>
          <w:lang w:val="en-US" w:eastAsia="zh-CN"/>
        </w:rPr>
        <w:t>27</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lang w:val="zh-CN"/>
        </w:rPr>
        <w:t>午</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val="zh-CN"/>
        </w:rPr>
        <w:t>时</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val="zh-CN"/>
        </w:rPr>
        <w:t>分至202</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27</w:t>
      </w:r>
      <w:r>
        <w:rPr>
          <w:rFonts w:hint="eastAsia" w:ascii="宋体" w:hAnsi="宋体" w:cs="宋体"/>
          <w:color w:val="auto"/>
          <w:kern w:val="0"/>
          <w:sz w:val="24"/>
          <w:szCs w:val="24"/>
          <w:highlight w:val="none"/>
          <w:lang w:val="zh-CN"/>
        </w:rPr>
        <w:t>日</w:t>
      </w:r>
      <w:r>
        <w:rPr>
          <w:rFonts w:hint="eastAsia" w:ascii="宋体" w:hAnsi="宋体" w:eastAsia="宋体" w:cs="宋体"/>
          <w:color w:val="auto"/>
          <w:kern w:val="0"/>
          <w:sz w:val="24"/>
          <w:szCs w:val="24"/>
          <w:highlight w:val="none"/>
          <w:lang w:val="en-US" w:eastAsia="zh-CN"/>
        </w:rPr>
        <w:t>上</w:t>
      </w:r>
      <w:r>
        <w:rPr>
          <w:rFonts w:hint="eastAsia" w:ascii="宋体" w:hAnsi="宋体" w:cs="宋体"/>
          <w:color w:val="auto"/>
          <w:kern w:val="0"/>
          <w:sz w:val="24"/>
          <w:szCs w:val="24"/>
          <w:highlight w:val="none"/>
          <w:lang w:val="zh-CN"/>
        </w:rPr>
        <w:t>午</w:t>
      </w:r>
      <w:r>
        <w:rPr>
          <w:rFonts w:hint="eastAsia" w:ascii="宋体" w:hAnsi="宋体" w:eastAsia="宋体" w:cs="宋体"/>
          <w:color w:val="auto"/>
          <w:kern w:val="0"/>
          <w:sz w:val="24"/>
          <w:szCs w:val="24"/>
          <w:highlight w:val="none"/>
          <w:lang w:val="en-US" w:eastAsia="zh-CN"/>
        </w:rPr>
        <w:t>10</w:t>
      </w:r>
      <w:r>
        <w:rPr>
          <w:rFonts w:hint="eastAsia" w:ascii="宋体" w:hAnsi="宋体" w:cs="宋体"/>
          <w:color w:val="auto"/>
          <w:kern w:val="0"/>
          <w:sz w:val="24"/>
          <w:szCs w:val="24"/>
          <w:highlight w:val="none"/>
          <w:lang w:val="zh-CN"/>
        </w:rPr>
        <w:t>时</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val="zh-CN"/>
        </w:rPr>
        <w:t>分（北京时间）</w:t>
      </w:r>
    </w:p>
    <w:p>
      <w:pPr>
        <w:keepNext w:val="0"/>
        <w:keepLines w:val="0"/>
        <w:pageBreakBefore w:val="0"/>
        <w:kinsoku/>
        <w:wordWrap/>
        <w:overflowPunct/>
        <w:topLinePunct w:val="0"/>
        <w:bidi w:val="0"/>
        <w:spacing w:line="480" w:lineRule="exact"/>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rPr>
        <w:t>2、地点：临沂市政务服务中心5楼开标室(北城新区北京路8号)。</w:t>
      </w:r>
    </w:p>
    <w:p>
      <w:pPr>
        <w:keepNext w:val="0"/>
        <w:keepLines w:val="0"/>
        <w:pageBreakBefore w:val="0"/>
        <w:widowControl/>
        <w:kinsoku/>
        <w:wordWrap/>
        <w:overflowPunct/>
        <w:topLinePunct w:val="0"/>
        <w:bidi w:val="0"/>
        <w:adjustRightInd w:val="0"/>
        <w:snapToGrid w:val="0"/>
        <w:spacing w:line="480" w:lineRule="exact"/>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七、开标时间及地点：</w:t>
      </w:r>
    </w:p>
    <w:p>
      <w:pPr>
        <w:keepNext w:val="0"/>
        <w:keepLines w:val="0"/>
        <w:pageBreakBefore w:val="0"/>
        <w:shd w:val="clear" w:color="auto" w:fill="FFFFFF"/>
        <w:kinsoku/>
        <w:wordWrap/>
        <w:overflowPunct/>
        <w:topLinePunct w:val="0"/>
        <w:bidi w:val="0"/>
        <w:spacing w:line="48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1、时间：202</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27</w:t>
      </w:r>
      <w:r>
        <w:rPr>
          <w:rFonts w:hint="eastAsia" w:ascii="宋体" w:hAnsi="宋体" w:cs="宋体"/>
          <w:color w:val="auto"/>
          <w:kern w:val="0"/>
          <w:sz w:val="24"/>
          <w:szCs w:val="24"/>
          <w:highlight w:val="none"/>
          <w:lang w:val="zh-CN"/>
        </w:rPr>
        <w:t>日</w:t>
      </w:r>
      <w:r>
        <w:rPr>
          <w:rFonts w:hint="eastAsia" w:ascii="宋体" w:hAnsi="宋体" w:eastAsia="宋体" w:cs="宋体"/>
          <w:color w:val="auto"/>
          <w:kern w:val="0"/>
          <w:sz w:val="24"/>
          <w:szCs w:val="24"/>
          <w:highlight w:val="none"/>
          <w:lang w:val="en-US" w:eastAsia="zh-CN"/>
        </w:rPr>
        <w:t>上</w:t>
      </w:r>
      <w:r>
        <w:rPr>
          <w:rFonts w:hint="eastAsia" w:ascii="宋体" w:hAnsi="宋体" w:cs="宋体"/>
          <w:color w:val="auto"/>
          <w:kern w:val="0"/>
          <w:sz w:val="24"/>
          <w:szCs w:val="24"/>
          <w:highlight w:val="none"/>
          <w:lang w:val="zh-CN"/>
        </w:rPr>
        <w:t>午</w:t>
      </w:r>
      <w:r>
        <w:rPr>
          <w:rFonts w:hint="eastAsia" w:ascii="宋体" w:hAnsi="宋体" w:eastAsia="宋体" w:cs="宋体"/>
          <w:color w:val="auto"/>
          <w:kern w:val="0"/>
          <w:sz w:val="24"/>
          <w:szCs w:val="24"/>
          <w:highlight w:val="none"/>
          <w:lang w:val="en-US" w:eastAsia="zh-CN"/>
        </w:rPr>
        <w:t>10</w:t>
      </w:r>
      <w:r>
        <w:rPr>
          <w:rFonts w:hint="eastAsia" w:ascii="宋体" w:hAnsi="宋体" w:cs="宋体"/>
          <w:color w:val="auto"/>
          <w:kern w:val="0"/>
          <w:sz w:val="24"/>
          <w:szCs w:val="24"/>
          <w:highlight w:val="none"/>
          <w:lang w:val="zh-CN"/>
        </w:rPr>
        <w:t>时</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val="zh-CN"/>
        </w:rPr>
        <w:t>分（北京时间）</w:t>
      </w:r>
    </w:p>
    <w:p>
      <w:pPr>
        <w:keepNext w:val="0"/>
        <w:keepLines w:val="0"/>
        <w:pageBreakBefore w:val="0"/>
        <w:kinsoku/>
        <w:wordWrap/>
        <w:overflowPunct/>
        <w:topLinePunct w:val="0"/>
        <w:bidi w:val="0"/>
        <w:spacing w:line="480" w:lineRule="exac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2、地点：临沂市政务服务中心5楼开标室(北城新区北京路8号)。</w:t>
      </w:r>
    </w:p>
    <w:p>
      <w:pPr>
        <w:pStyle w:val="41"/>
        <w:keepNext w:val="0"/>
        <w:keepLines w:val="0"/>
        <w:pageBreakBefore w:val="0"/>
        <w:kinsoku/>
        <w:wordWrap/>
        <w:overflowPunct/>
        <w:topLinePunct w:val="0"/>
        <w:bidi w:val="0"/>
        <w:spacing w:line="480" w:lineRule="exact"/>
        <w:textAlignment w:val="auto"/>
        <w:rPr>
          <w:rFonts w:hint="eastAsia"/>
          <w:highlight w:val="none"/>
        </w:rPr>
      </w:pPr>
      <w:r>
        <w:rPr>
          <w:rFonts w:hint="eastAsia"/>
          <w:highlight w:val="none"/>
        </w:rPr>
        <w:t>八、采购项目联系方式：</w:t>
      </w:r>
    </w:p>
    <w:p>
      <w:pPr>
        <w:pStyle w:val="41"/>
        <w:keepNext w:val="0"/>
        <w:keepLines w:val="0"/>
        <w:pageBreakBefore w:val="0"/>
        <w:kinsoku/>
        <w:wordWrap/>
        <w:overflowPunct/>
        <w:topLinePunct w:val="0"/>
        <w:bidi w:val="0"/>
        <w:adjustRightInd w:val="0"/>
        <w:spacing w:line="480" w:lineRule="exact"/>
        <w:ind w:firstLine="480" w:firstLineChars="200"/>
        <w:textAlignment w:val="auto"/>
        <w:rPr>
          <w:rFonts w:hint="default" w:hAnsi="宋体" w:eastAsia="宋体" w:cs="宋体"/>
          <w:szCs w:val="24"/>
          <w:highlight w:val="none"/>
          <w:lang w:val="en-US" w:eastAsia="zh-CN"/>
        </w:rPr>
      </w:pPr>
      <w:r>
        <w:rPr>
          <w:rFonts w:hint="eastAsia" w:hAnsi="宋体" w:cs="宋体"/>
          <w:szCs w:val="24"/>
          <w:highlight w:val="none"/>
        </w:rPr>
        <w:t>联 系人：</w:t>
      </w:r>
      <w:r>
        <w:rPr>
          <w:rFonts w:hint="eastAsia" w:cs="Times New Roman"/>
          <w:highlight w:val="none"/>
          <w:lang w:val="en-US" w:eastAsia="zh-CN"/>
        </w:rPr>
        <w:t xml:space="preserve">夏工 </w:t>
      </w:r>
      <w:r>
        <w:rPr>
          <w:rFonts w:hint="eastAsia" w:hAnsi="宋体" w:cs="宋体"/>
          <w:szCs w:val="24"/>
          <w:highlight w:val="none"/>
        </w:rPr>
        <w:t xml:space="preserve">   联系方式：</w:t>
      </w:r>
      <w:r>
        <w:rPr>
          <w:rFonts w:hint="eastAsia" w:hAnsi="宋体" w:cs="宋体"/>
          <w:szCs w:val="24"/>
          <w:highlight w:val="none"/>
          <w:lang w:val="en-US" w:eastAsia="zh-CN"/>
        </w:rPr>
        <w:t>18396713086</w:t>
      </w:r>
    </w:p>
    <w:p>
      <w:pPr>
        <w:pStyle w:val="41"/>
        <w:keepNext w:val="0"/>
        <w:keepLines w:val="0"/>
        <w:pageBreakBefore w:val="0"/>
        <w:numPr>
          <w:ilvl w:val="0"/>
          <w:numId w:val="3"/>
        </w:numPr>
        <w:kinsoku/>
        <w:wordWrap/>
        <w:overflowPunct/>
        <w:topLinePunct w:val="0"/>
        <w:bidi w:val="0"/>
        <w:spacing w:line="480" w:lineRule="exact"/>
        <w:textAlignment w:val="auto"/>
        <w:rPr>
          <w:rFonts w:hint="eastAsia"/>
          <w:color w:val="auto"/>
          <w:highlight w:val="none"/>
        </w:rPr>
      </w:pPr>
      <w:r>
        <w:rPr>
          <w:rFonts w:hint="eastAsia"/>
          <w:color w:val="auto"/>
          <w:highlight w:val="none"/>
        </w:rPr>
        <w:t>采购项目的用途、数量、简要技术要求等</w:t>
      </w:r>
      <w:r>
        <w:rPr>
          <w:rFonts w:hint="eastAsia"/>
          <w:color w:val="auto"/>
          <w:highlight w:val="none"/>
        </w:rPr>
        <w:br w:type="textWrapping"/>
      </w:r>
      <w:r>
        <w:rPr>
          <w:rFonts w:hint="eastAsia"/>
          <w:color w:val="auto"/>
          <w:highlight w:val="none"/>
          <w:lang w:val="en-US" w:eastAsia="zh-CN"/>
        </w:rPr>
        <w:t xml:space="preserve">    详见磋商文件</w:t>
      </w:r>
    </w:p>
    <w:p>
      <w:pPr>
        <w:pStyle w:val="41"/>
        <w:keepNext w:val="0"/>
        <w:keepLines w:val="0"/>
        <w:pageBreakBefore w:val="0"/>
        <w:numPr>
          <w:ilvl w:val="0"/>
          <w:numId w:val="3"/>
        </w:numPr>
        <w:kinsoku/>
        <w:wordWrap/>
        <w:overflowPunct/>
        <w:topLinePunct w:val="0"/>
        <w:bidi w:val="0"/>
        <w:spacing w:line="480" w:lineRule="exact"/>
        <w:textAlignment w:val="auto"/>
        <w:rPr>
          <w:rFonts w:hint="default"/>
          <w:color w:val="auto"/>
          <w:highlight w:val="none"/>
          <w:lang w:val="en-US"/>
        </w:rPr>
      </w:pPr>
      <w:r>
        <w:rPr>
          <w:rFonts w:hint="eastAsia"/>
          <w:color w:val="auto"/>
        </w:rPr>
        <w:t>采购项目需要落实的政府采购政策</w:t>
      </w:r>
      <w:r>
        <w:rPr>
          <w:rFonts w:hint="eastAsia"/>
          <w:color w:val="auto"/>
        </w:rPr>
        <w:br w:type="textWrapping"/>
      </w:r>
      <w:r>
        <w:rPr>
          <w:rFonts w:hint="eastAsia"/>
          <w:color w:val="auto"/>
          <w:highlight w:val="none"/>
          <w:lang w:val="en-US" w:eastAsia="zh-CN"/>
        </w:rPr>
        <w:t xml:space="preserve">    详见磋商文件</w:t>
      </w:r>
    </w:p>
    <w:p>
      <w:pPr>
        <w:rPr>
          <w:lang w:eastAsia="zh-CN"/>
        </w:rPr>
      </w:pPr>
      <w:r>
        <w:rPr>
          <w:highlight w:val="none"/>
          <w:lang w:eastAsia="zh-CN"/>
        </w:rPr>
        <w:br w:type="page"/>
      </w:r>
    </w:p>
    <w:p>
      <w:pPr>
        <w:rPr>
          <w:lang w:eastAsia="zh-CN"/>
        </w:rPr>
      </w:pPr>
    </w:p>
    <w:p>
      <w:pPr>
        <w:pStyle w:val="5"/>
        <w:spacing w:line="390" w:lineRule="exact"/>
        <w:ind w:left="2928" w:right="91"/>
        <w:rPr>
          <w:b w:val="0"/>
          <w:bCs w:val="0"/>
          <w:lang w:eastAsia="zh-CN"/>
        </w:rPr>
      </w:pPr>
      <w:r>
        <w:rPr>
          <w:lang w:eastAsia="zh-CN"/>
        </w:rPr>
        <w:t>第3章供应商须知资料表</w:t>
      </w:r>
    </w:p>
    <w:p>
      <w:pPr>
        <w:pStyle w:val="2"/>
        <w:spacing w:before="217" w:line="355" w:lineRule="auto"/>
        <w:ind w:left="155" w:right="91" w:firstLine="360"/>
        <w:rPr>
          <w:lang w:eastAsia="zh-CN"/>
        </w:rPr>
      </w:pPr>
      <w:r>
        <w:rPr>
          <w:lang w:eastAsia="zh-CN"/>
        </w:rPr>
        <w:t>本表是本磋商项目的具体资料，是对供应商须知的具体补充和修改，如有矛盾，</w:t>
      </w:r>
      <w:r>
        <w:rPr>
          <w:rFonts w:cs="宋体"/>
          <w:b/>
          <w:bCs/>
          <w:lang w:eastAsia="zh-CN"/>
        </w:rPr>
        <w:t>应以本资料表为准</w:t>
      </w:r>
      <w:r>
        <w:rPr>
          <w:lang w:eastAsia="zh-CN"/>
        </w:rPr>
        <w:t>。</w:t>
      </w:r>
    </w:p>
    <w:tbl>
      <w:tblPr>
        <w:tblStyle w:val="23"/>
        <w:tblW w:w="83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72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12"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条款号</w:t>
            </w:r>
          </w:p>
        </w:tc>
        <w:tc>
          <w:tcPr>
            <w:tcW w:w="7287"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rPr>
            </w:pPr>
            <w:r>
              <w:rPr>
                <w:rFonts w:hint="eastAsia" w:ascii="宋体" w:hAnsi="宋体" w:eastAsia="宋体" w:cs="宋体"/>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1.1</w:t>
            </w:r>
          </w:p>
        </w:tc>
        <w:tc>
          <w:tcPr>
            <w:tcW w:w="7287" w:type="dxa"/>
            <w:tcBorders>
              <w:top w:val="single" w:color="auto" w:sz="6" w:space="0"/>
              <w:left w:val="single" w:color="auto" w:sz="6" w:space="0"/>
              <w:bottom w:val="single" w:color="auto" w:sz="6"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eastAsia" w:cs="宋体"/>
                <w:lang w:eastAsia="zh-CN"/>
              </w:rPr>
            </w:pPr>
            <w:r>
              <w:rPr>
                <w:rFonts w:hint="eastAsia" w:cs="宋体"/>
                <w:lang w:eastAsia="zh-CN"/>
              </w:rPr>
              <w:t>采购单位：山东省临沂卫生学校</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eastAsia" w:cs="宋体"/>
                <w:lang w:eastAsia="zh-CN"/>
              </w:rPr>
            </w:pPr>
            <w:r>
              <w:rPr>
                <w:rFonts w:hint="eastAsia" w:cs="宋体"/>
                <w:lang w:eastAsia="zh-CN"/>
              </w:rPr>
              <w:t>地址：</w:t>
            </w:r>
            <w:r>
              <w:rPr>
                <w:rFonts w:hint="eastAsia"/>
                <w:sz w:val="24"/>
              </w:rPr>
              <w:t>临沂市兰山区临西九路与聚才六路交汇处</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default" w:eastAsia="宋体" w:cs="宋体"/>
                <w:lang w:val="en-US" w:eastAsia="zh-CN"/>
              </w:rPr>
            </w:pPr>
            <w:r>
              <w:rPr>
                <w:rFonts w:hint="eastAsia" w:cs="宋体"/>
                <w:lang w:eastAsia="zh-CN"/>
              </w:rPr>
              <w:t>联系</w:t>
            </w:r>
            <w:r>
              <w:rPr>
                <w:rFonts w:hint="eastAsia" w:cs="宋体"/>
                <w:highlight w:val="none"/>
                <w:lang w:eastAsia="zh-CN"/>
              </w:rPr>
              <w:t>方式：</w:t>
            </w:r>
            <w:r>
              <w:rPr>
                <w:rFonts w:hint="eastAsia"/>
                <w:sz w:val="24"/>
                <w:highlight w:val="none"/>
              </w:rPr>
              <w:t>0539-81</w:t>
            </w:r>
            <w:r>
              <w:rPr>
                <w:rFonts w:hint="eastAsia"/>
                <w:sz w:val="24"/>
                <w:highlight w:val="none"/>
                <w:lang w:val="en-US" w:eastAsia="zh-CN"/>
              </w:rPr>
              <w:t>93202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1.2</w:t>
            </w:r>
          </w:p>
        </w:tc>
        <w:tc>
          <w:tcPr>
            <w:tcW w:w="7287" w:type="dxa"/>
            <w:tcBorders>
              <w:top w:val="single" w:color="auto" w:sz="6" w:space="0"/>
              <w:left w:val="single" w:color="auto" w:sz="6" w:space="0"/>
              <w:bottom w:val="single" w:color="auto" w:sz="6"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eastAsia" w:cs="宋体"/>
                <w:lang w:eastAsia="zh-CN"/>
              </w:rPr>
            </w:pPr>
            <w:r>
              <w:rPr>
                <w:rFonts w:hint="eastAsia" w:cs="宋体"/>
                <w:lang w:eastAsia="zh-CN"/>
              </w:rPr>
              <w:t>采购代理机构：临沂正旭建设项目管理有限公司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eastAsia" w:cs="宋体"/>
                <w:lang w:eastAsia="zh-CN"/>
              </w:rPr>
            </w:pPr>
            <w:r>
              <w:rPr>
                <w:rFonts w:hint="eastAsia" w:cs="宋体"/>
                <w:lang w:eastAsia="zh-CN"/>
              </w:rPr>
              <w:t>地址：</w:t>
            </w:r>
            <w:r>
              <w:rPr>
                <w:rFonts w:hint="eastAsia"/>
                <w:sz w:val="24"/>
              </w:rPr>
              <w:t>临沂市兰山区北京路与沭河路交汇处红日大厦807室</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default" w:cs="宋体"/>
                <w:lang w:val="en-US" w:eastAsia="zh-CN"/>
              </w:rPr>
            </w:pPr>
            <w:r>
              <w:rPr>
                <w:rFonts w:hint="eastAsia" w:cs="宋体"/>
                <w:lang w:eastAsia="zh-CN"/>
              </w:rPr>
              <w:t>联系方式：</w:t>
            </w:r>
            <w:r>
              <w:rPr>
                <w:rFonts w:hint="eastAsia" w:cs="宋体"/>
                <w:lang w:val="en-US" w:eastAsia="zh-CN"/>
              </w:rPr>
              <w:t>18396713086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1.3.4</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32"/>
                <w:highlight w:val="none"/>
                <w:lang w:val="en-US" w:eastAsia="zh-CN"/>
              </w:rPr>
            </w:pPr>
            <w:r>
              <w:rPr>
                <w:rFonts w:hint="eastAsia"/>
                <w:sz w:val="24"/>
                <w:szCs w:val="32"/>
                <w:highlight w:val="none"/>
                <w:lang w:val="en-US" w:eastAsia="zh-CN"/>
              </w:rPr>
              <w:t>合格供应商的特定资格要求：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32"/>
                <w:highlight w:val="none"/>
              </w:rPr>
            </w:pPr>
            <w:r>
              <w:rPr>
                <w:rFonts w:hint="eastAsia"/>
                <w:sz w:val="24"/>
                <w:szCs w:val="32"/>
                <w:highlight w:val="none"/>
              </w:rPr>
              <w:t>1.满足《中华人民共和国政府采购法》第二十二条规定的供应商资格要求；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32"/>
                <w:highlight w:val="none"/>
              </w:rPr>
            </w:pPr>
            <w:r>
              <w:rPr>
                <w:rFonts w:hint="eastAsia"/>
                <w:sz w:val="24"/>
                <w:szCs w:val="32"/>
                <w:highlight w:val="none"/>
              </w:rPr>
              <w:t>2.供应商如为电梯制造商</w:t>
            </w:r>
            <w:r>
              <w:rPr>
                <w:rFonts w:hint="eastAsia"/>
                <w:sz w:val="24"/>
                <w:szCs w:val="32"/>
                <w:highlight w:val="none"/>
                <w:lang w:eastAsia="zh-CN"/>
              </w:rPr>
              <w:t>，</w:t>
            </w:r>
            <w:r>
              <w:rPr>
                <w:rFonts w:hint="eastAsia"/>
                <w:sz w:val="24"/>
                <w:szCs w:val="32"/>
                <w:highlight w:val="none"/>
              </w:rPr>
              <w:t>需具</w:t>
            </w:r>
            <w:r>
              <w:rPr>
                <w:rFonts w:hint="eastAsia"/>
                <w:sz w:val="24"/>
                <w:szCs w:val="32"/>
                <w:highlight w:val="none"/>
                <w:lang w:val="en-US" w:eastAsia="zh-CN"/>
              </w:rPr>
              <w:t>有</w:t>
            </w:r>
            <w:r>
              <w:rPr>
                <w:rFonts w:hint="eastAsia"/>
                <w:sz w:val="24"/>
                <w:szCs w:val="32"/>
                <w:highlight w:val="none"/>
              </w:rPr>
              <w:t>《中华人民共和国特种设备制造许可证</w:t>
            </w:r>
            <w:r>
              <w:rPr>
                <w:rFonts w:hint="eastAsia" w:ascii="宋体" w:hAnsi="宋体" w:cs="宋体"/>
                <w:color w:val="000000"/>
                <w:sz w:val="24"/>
                <w:szCs w:val="24"/>
                <w:highlight w:val="none"/>
              </w:rPr>
              <w:t>》</w:t>
            </w:r>
            <w:r>
              <w:rPr>
                <w:rFonts w:hint="eastAsia"/>
                <w:sz w:val="24"/>
                <w:szCs w:val="32"/>
                <w:highlight w:val="none"/>
              </w:rPr>
              <w:t>（电梯）A级（含）及以上资质及《中华人民共和国特种设备安装改造维修许可证</w:t>
            </w:r>
            <w:r>
              <w:rPr>
                <w:rFonts w:hint="eastAsia" w:ascii="宋体" w:hAnsi="宋体" w:cs="宋体"/>
                <w:color w:val="000000"/>
                <w:sz w:val="24"/>
                <w:szCs w:val="24"/>
                <w:highlight w:val="none"/>
              </w:rPr>
              <w:t>》</w:t>
            </w:r>
            <w:r>
              <w:rPr>
                <w:rFonts w:hint="eastAsia"/>
                <w:sz w:val="24"/>
                <w:szCs w:val="32"/>
                <w:highlight w:val="none"/>
              </w:rPr>
              <w:t>（电梯）B级（含）及以上资质</w:t>
            </w:r>
            <w:r>
              <w:rPr>
                <w:rFonts w:hint="eastAsia" w:eastAsia="宋体"/>
                <w:sz w:val="24"/>
                <w:szCs w:val="32"/>
                <w:highlight w:val="none"/>
                <w:lang w:eastAsia="zh-CN"/>
              </w:rPr>
              <w:t>；</w:t>
            </w:r>
            <w:r>
              <w:rPr>
                <w:rFonts w:hint="eastAsia"/>
                <w:sz w:val="24"/>
                <w:szCs w:val="32"/>
                <w:highlight w:val="none"/>
              </w:rPr>
              <w:t>若供应商为代理商的需具备《中华人民共和国特种设备安装改造维修许可证</w:t>
            </w:r>
            <w:r>
              <w:rPr>
                <w:rFonts w:hint="eastAsia" w:ascii="宋体" w:hAnsi="宋体" w:cs="宋体"/>
                <w:color w:val="000000"/>
                <w:sz w:val="24"/>
                <w:szCs w:val="24"/>
                <w:highlight w:val="none"/>
              </w:rPr>
              <w:t>》（电梯）B级（含）及以上资质</w:t>
            </w:r>
            <w:r>
              <w:rPr>
                <w:rFonts w:hint="eastAsia"/>
                <w:sz w:val="24"/>
                <w:szCs w:val="32"/>
                <w:highlight w:val="none"/>
              </w:rPr>
              <w:t>且投标产品</w:t>
            </w:r>
            <w:r>
              <w:rPr>
                <w:rFonts w:hint="eastAsia" w:eastAsia="宋体"/>
                <w:sz w:val="24"/>
                <w:szCs w:val="32"/>
                <w:highlight w:val="none"/>
                <w:lang w:val="en-US" w:eastAsia="zh-CN"/>
              </w:rPr>
              <w:t>制造商须</w:t>
            </w:r>
            <w:r>
              <w:rPr>
                <w:rFonts w:hint="eastAsia"/>
                <w:sz w:val="24"/>
                <w:szCs w:val="32"/>
                <w:highlight w:val="none"/>
              </w:rPr>
              <w:t>具备《中华人民共和国特种设备制造许可证</w:t>
            </w:r>
            <w:r>
              <w:rPr>
                <w:rFonts w:hint="eastAsia" w:ascii="宋体" w:hAnsi="宋体" w:cs="宋体"/>
                <w:color w:val="000000"/>
                <w:sz w:val="24"/>
                <w:szCs w:val="24"/>
                <w:highlight w:val="none"/>
              </w:rPr>
              <w:t>》</w:t>
            </w:r>
            <w:r>
              <w:rPr>
                <w:rFonts w:hint="eastAsia"/>
                <w:sz w:val="24"/>
                <w:szCs w:val="32"/>
                <w:highlight w:val="none"/>
              </w:rPr>
              <w:t>（电梯）A级（含）及以上资质；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32"/>
                <w:highlight w:val="none"/>
              </w:rPr>
            </w:pPr>
            <w:r>
              <w:rPr>
                <w:rFonts w:hint="eastAsia" w:eastAsia="宋体"/>
                <w:sz w:val="24"/>
                <w:szCs w:val="32"/>
                <w:highlight w:val="none"/>
                <w:lang w:val="en-US" w:eastAsia="zh-CN"/>
              </w:rPr>
              <w:t>3</w:t>
            </w:r>
            <w:r>
              <w:rPr>
                <w:rFonts w:hint="eastAsia"/>
                <w:sz w:val="24"/>
                <w:szCs w:val="32"/>
                <w:highlight w:val="none"/>
              </w:rPr>
              <w:t>.投标人须在“山东省政府采购信息公开平台”投标备案和“临沂市公共资源交易中心”办理诚信入库、CA 实名认证并针对本项目进行网上下载操作；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32"/>
                <w:highlight w:val="none"/>
              </w:rPr>
            </w:pPr>
            <w:r>
              <w:rPr>
                <w:rFonts w:hint="eastAsia" w:eastAsia="宋体"/>
                <w:sz w:val="24"/>
                <w:szCs w:val="32"/>
                <w:highlight w:val="none"/>
                <w:lang w:val="en-US" w:eastAsia="zh-CN"/>
              </w:rPr>
              <w:t>4</w:t>
            </w:r>
            <w:r>
              <w:rPr>
                <w:rFonts w:hint="eastAsia"/>
                <w:sz w:val="24"/>
                <w:szCs w:val="32"/>
                <w:highlight w:val="none"/>
              </w:rPr>
              <w:t>.参加政府采购活动前三年内，在经营活动中没有重大违法记录，且未被列入“信用中国”网站(www.creditchina.gov.cn）失信被执行人、重大税收违法案件当事人名单，中国政府采购网（www.ccgp.gov.cn）政府采购严重违法失信行为记录名单以及提供在“中国裁判文书网”（http://wenshu.court.gov.cn/）无行贿记录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32"/>
                <w:highlight w:val="none"/>
              </w:rPr>
            </w:pPr>
            <w:r>
              <w:rPr>
                <w:rFonts w:hint="eastAsia" w:eastAsia="宋体"/>
                <w:sz w:val="24"/>
                <w:szCs w:val="32"/>
                <w:highlight w:val="none"/>
                <w:lang w:val="en-US" w:eastAsia="zh-CN"/>
              </w:rPr>
              <w:t>5</w:t>
            </w:r>
            <w:r>
              <w:rPr>
                <w:rFonts w:hint="eastAsia"/>
                <w:sz w:val="24"/>
                <w:szCs w:val="32"/>
                <w:highlight w:val="none"/>
              </w:rPr>
              <w:t>.供应商具有投资参股关系的关联企业，或具有直接管理和被管理关系的母子公司，或同一母公司的子公司，或法定代表人为同一人的两个或两个以上法人不得同时参与；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32"/>
                <w:highlight w:val="none"/>
              </w:rPr>
            </w:pPr>
            <w:r>
              <w:rPr>
                <w:rFonts w:hint="eastAsia" w:eastAsia="宋体"/>
                <w:sz w:val="24"/>
                <w:szCs w:val="32"/>
                <w:highlight w:val="none"/>
                <w:lang w:val="en-US" w:eastAsia="zh-CN"/>
              </w:rPr>
              <w:t>6</w:t>
            </w:r>
            <w:r>
              <w:rPr>
                <w:rFonts w:hint="eastAsia"/>
                <w:sz w:val="24"/>
                <w:szCs w:val="32"/>
                <w:highlight w:val="none"/>
              </w:rPr>
              <w:t>.本项目不接受联合体投标；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sz w:val="24"/>
                <w:szCs w:val="24"/>
                <w:highlight w:val="none"/>
                <w:lang w:eastAsia="zh-CN"/>
              </w:rPr>
            </w:pPr>
            <w:r>
              <w:rPr>
                <w:rFonts w:hint="eastAsia" w:eastAsia="宋体"/>
                <w:sz w:val="24"/>
                <w:szCs w:val="32"/>
                <w:highlight w:val="none"/>
                <w:lang w:val="en-US" w:eastAsia="zh-CN"/>
              </w:rPr>
              <w:t>7</w:t>
            </w:r>
            <w:r>
              <w:rPr>
                <w:rFonts w:hint="eastAsia"/>
                <w:sz w:val="24"/>
                <w:szCs w:val="32"/>
                <w:highlight w:val="none"/>
              </w:rPr>
              <w:t>.法律法规及磋商文件规定的其他条件。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49"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1.3.5</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highlight w:val="none"/>
                <w:lang w:eastAsia="zh-CN"/>
              </w:rPr>
            </w:pPr>
            <w:r>
              <w:rPr>
                <w:rFonts w:hint="eastAsia"/>
                <w:sz w:val="24"/>
                <w:szCs w:val="24"/>
                <w:highlight w:val="none"/>
                <w:lang w:eastAsia="zh-CN"/>
              </w:rPr>
              <w:t xml:space="preserve">是否为专门面向中小企业采购：（是 </w:t>
            </w:r>
            <w:r>
              <w:rPr>
                <w:rFonts w:hint="eastAsia"/>
                <w:sz w:val="24"/>
                <w:szCs w:val="24"/>
                <w:highlight w:val="none"/>
                <w:lang w:val="en-US" w:eastAsia="zh-CN"/>
              </w:rPr>
              <w:t>□</w:t>
            </w:r>
            <w:r>
              <w:rPr>
                <w:rFonts w:hint="eastAsia"/>
                <w:sz w:val="24"/>
                <w:szCs w:val="24"/>
                <w:highlight w:val="none"/>
                <w:lang w:eastAsia="zh-CN"/>
              </w:rPr>
              <w:t xml:space="preserve">  否 </w:t>
            </w:r>
            <w:r>
              <w:rPr>
                <w:rFonts w:hint="eastAsia"/>
                <w:sz w:val="24"/>
                <w:szCs w:val="24"/>
                <w:highlight w:val="none"/>
                <w:lang w:val="en-US" w:eastAsia="zh-CN"/>
              </w:rPr>
              <w:sym w:font="Wingdings 2" w:char="0052"/>
            </w:r>
            <w:r>
              <w:rPr>
                <w:rFonts w:hint="eastAsia"/>
                <w:sz w:val="24"/>
                <w:szCs w:val="24"/>
                <w:highlight w:val="none"/>
                <w:lang w:eastAsia="zh-CN"/>
              </w:rPr>
              <w:t xml:space="preserve"> ）</w:t>
            </w:r>
          </w:p>
          <w:p>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highlight w:val="none"/>
                <w:lang w:eastAsia="zh-CN"/>
              </w:rPr>
            </w:pPr>
            <w:r>
              <w:rPr>
                <w:rFonts w:hint="eastAsia" w:ascii="宋体" w:hAnsi="宋体" w:eastAsia="宋体" w:cs="宋体"/>
                <w:highlight w:val="none"/>
                <w:lang w:eastAsia="zh-CN"/>
              </w:rPr>
              <w:t>根据财政部关于印发《政府采购促进中小企业发展管理办法》的通知（财库〔2020〕46 号）文件规定，本项目适宜由中小企业提供，专门面向中小企业采购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1.3.6</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是否允许采购进口产品（是 </w:t>
            </w:r>
            <w:r>
              <w:rPr>
                <w:rFonts w:hint="eastAsia"/>
                <w:sz w:val="24"/>
                <w:szCs w:val="24"/>
                <w:lang w:val="en-US" w:eastAsia="zh-CN"/>
              </w:rPr>
              <w:t>□</w:t>
            </w:r>
            <w:r>
              <w:rPr>
                <w:rFonts w:hint="eastAsia"/>
                <w:sz w:val="24"/>
                <w:szCs w:val="24"/>
                <w:lang w:eastAsia="zh-CN"/>
              </w:rPr>
              <w:t xml:space="preserve"> </w:t>
            </w:r>
            <w:r>
              <w:rPr>
                <w:rFonts w:hint="eastAsia"/>
                <w:sz w:val="24"/>
                <w:szCs w:val="24"/>
                <w:lang w:val="en-US" w:eastAsia="zh-CN"/>
              </w:rPr>
              <w:t xml:space="preserve">  </w:t>
            </w:r>
            <w:r>
              <w:rPr>
                <w:rFonts w:hint="eastAsia" w:ascii="宋体" w:hAnsi="宋体" w:eastAsia="宋体" w:cs="宋体"/>
                <w:sz w:val="24"/>
                <w:szCs w:val="24"/>
                <w:lang w:eastAsia="zh-CN"/>
              </w:rPr>
              <w:t xml:space="preserve">否 </w:t>
            </w:r>
            <w:r>
              <w:rPr>
                <w:rFonts w:hint="eastAsia"/>
                <w:sz w:val="24"/>
                <w:szCs w:val="24"/>
                <w:lang w:val="en-US" w:eastAsia="zh-CN"/>
              </w:rPr>
              <w:t>☑</w:t>
            </w:r>
            <w:r>
              <w:rPr>
                <w:rFonts w:hint="eastAsia"/>
                <w:sz w:val="24"/>
                <w:szCs w:val="24"/>
                <w:lang w:eastAsia="zh-CN"/>
              </w:rPr>
              <w:t xml:space="preserve"> </w:t>
            </w:r>
            <w:r>
              <w:rPr>
                <w:rFonts w:hint="eastAsia" w:ascii="宋体" w:hAnsi="宋体" w:eastAsia="宋体" w:cs="宋体"/>
                <w:sz w:val="24"/>
                <w:szCs w:val="24"/>
                <w:lang w:eastAsia="zh-CN"/>
              </w:rPr>
              <w:t>）（零部件除外）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1.进口产品是指通过中国海关报关验收进入中国境内且产自境外的产品。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2.其他相关规定详见关于政府采购进口产品管理有关问题的通知（财办库〔2008〕248号）、政府采购进口产品管理办法（财库[2007]119号）。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1.4</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 xml:space="preserve">是否允许联合体投标：（是 </w:t>
            </w:r>
            <w:r>
              <w:rPr>
                <w:rFonts w:hint="eastAsia"/>
                <w:sz w:val="24"/>
                <w:szCs w:val="24"/>
                <w:lang w:val="en-US" w:eastAsia="zh-CN"/>
              </w:rPr>
              <w:t>□</w:t>
            </w:r>
            <w:r>
              <w:rPr>
                <w:rFonts w:hint="eastAsia"/>
                <w:sz w:val="24"/>
                <w:szCs w:val="24"/>
                <w:lang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否</w:t>
            </w:r>
            <w:r>
              <w:rPr>
                <w:rFonts w:hint="eastAsia"/>
                <w:sz w:val="24"/>
                <w:szCs w:val="24"/>
                <w:lang w:val="en-US" w:eastAsia="zh-CN"/>
              </w:rPr>
              <w:t>☑</w:t>
            </w:r>
            <w:r>
              <w:rPr>
                <w:rFonts w:hint="eastAsia"/>
                <w:sz w:val="24"/>
                <w:szCs w:val="24"/>
                <w:lang w:eastAsia="zh-CN"/>
              </w:rPr>
              <w:t xml:space="preserve"> </w:t>
            </w:r>
            <w:r>
              <w:rPr>
                <w:rFonts w:hint="eastAsia" w:ascii="宋体" w:hAnsi="宋体" w:eastAsia="宋体" w:cs="宋体"/>
                <w:sz w:val="24"/>
                <w:szCs w:val="24"/>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1.4.7</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 xml:space="preserve">联合体的其他资格要求：（是 </w:t>
            </w:r>
            <w:r>
              <w:rPr>
                <w:rFonts w:hint="eastAsia"/>
                <w:sz w:val="24"/>
                <w:szCs w:val="24"/>
                <w:lang w:val="en-US" w:eastAsia="zh-CN"/>
              </w:rPr>
              <w:t>□</w:t>
            </w:r>
            <w:r>
              <w:rPr>
                <w:rFonts w:hint="eastAsia"/>
                <w:sz w:val="24"/>
                <w:szCs w:val="24"/>
                <w:lang w:eastAsia="zh-CN"/>
              </w:rPr>
              <w:t xml:space="preserve"> </w:t>
            </w:r>
            <w:r>
              <w:rPr>
                <w:rFonts w:hint="eastAsia" w:ascii="宋体" w:hAnsi="宋体" w:eastAsia="宋体" w:cs="宋体"/>
                <w:sz w:val="24"/>
                <w:szCs w:val="24"/>
                <w:lang w:eastAsia="zh-CN"/>
              </w:rPr>
              <w:t xml:space="preserve">否 </w:t>
            </w:r>
            <w:r>
              <w:rPr>
                <w:rFonts w:hint="eastAsia"/>
                <w:sz w:val="24"/>
                <w:szCs w:val="24"/>
                <w:lang w:val="en-US" w:eastAsia="zh-CN"/>
              </w:rPr>
              <w:t>☑</w:t>
            </w:r>
            <w:r>
              <w:rPr>
                <w:rFonts w:hint="eastAsia"/>
                <w:sz w:val="24"/>
                <w:szCs w:val="24"/>
                <w:lang w:eastAsia="zh-CN"/>
              </w:rPr>
              <w:t xml:space="preserve"> </w:t>
            </w:r>
            <w:r>
              <w:rPr>
                <w:rFonts w:hint="eastAsia" w:ascii="宋体" w:hAnsi="宋体" w:eastAsia="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5"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2.2</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lang w:eastAsia="zh-CN"/>
              </w:rPr>
            </w:pPr>
            <w:r>
              <w:rPr>
                <w:rFonts w:hint="eastAsia" w:ascii="宋体" w:hAnsi="宋体" w:eastAsia="宋体" w:cs="宋体"/>
                <w:sz w:val="24"/>
                <w:szCs w:val="24"/>
                <w:lang w:eastAsia="zh-CN"/>
              </w:rPr>
              <w:t>本分包最高限</w:t>
            </w:r>
            <w:r>
              <w:rPr>
                <w:rFonts w:hint="eastAsia" w:ascii="宋体" w:hAnsi="宋体" w:eastAsia="宋体" w:cs="宋体"/>
                <w:sz w:val="24"/>
                <w:szCs w:val="24"/>
                <w:highlight w:val="none"/>
                <w:lang w:eastAsia="zh-CN"/>
              </w:rPr>
              <w:t>价：</w:t>
            </w:r>
            <w:r>
              <w:rPr>
                <w:rFonts w:hint="eastAsia" w:ascii="宋体" w:hAnsi="宋体" w:eastAsia="宋体" w:cs="宋体"/>
                <w:b/>
                <w:bCs/>
                <w:w w:val="95"/>
                <w:sz w:val="24"/>
                <w:szCs w:val="24"/>
                <w:highlight w:val="none"/>
                <w:u w:val="single"/>
                <w:lang w:val="en-US" w:eastAsia="zh-CN"/>
              </w:rPr>
              <w:t>62.2</w:t>
            </w:r>
            <w:r>
              <w:rPr>
                <w:rFonts w:hint="eastAsia" w:ascii="宋体" w:hAnsi="宋体" w:eastAsia="宋体" w:cs="宋体"/>
                <w:b/>
                <w:bCs/>
                <w:w w:val="95"/>
                <w:sz w:val="24"/>
                <w:szCs w:val="24"/>
                <w:highlight w:val="none"/>
                <w:u w:val="single"/>
                <w:lang w:eastAsia="zh-CN"/>
              </w:rPr>
              <w:t>万元</w:t>
            </w:r>
            <w:r>
              <w:rPr>
                <w:rFonts w:hint="eastAsia" w:ascii="宋体" w:hAnsi="宋体" w:eastAsia="宋体" w:cs="宋体"/>
                <w:b/>
                <w:bCs/>
                <w:w w:val="95"/>
                <w:sz w:val="24"/>
                <w:szCs w:val="24"/>
                <w:highlight w:val="none"/>
                <w:u w:val="single"/>
                <w:lang w:val="en-US" w:eastAsia="zh-CN"/>
              </w:rPr>
              <w:t>。投标报价（含初次报价）超出最高限价者作无效标处理。供应商应按照国家有关标准，结合本单位及项目实际情况，充分考虑市场行情，自主报价。</w:t>
            </w:r>
          </w:p>
          <w:p>
            <w:pPr>
              <w:keepNext w:val="0"/>
              <w:keepLines w:val="0"/>
              <w:pageBreakBefore w:val="0"/>
              <w:widowControl w:val="0"/>
              <w:kinsoku/>
              <w:wordWrap/>
              <w:overflowPunct/>
              <w:topLinePunct w:val="0"/>
              <w:autoSpaceDE/>
              <w:autoSpaceDN/>
              <w:bidi w:val="0"/>
              <w:adjustRightInd/>
              <w:snapToGrid/>
              <w:spacing w:before="0" w:beforeLines="100" w:line="360" w:lineRule="auto"/>
              <w:ind w:left="0" w:leftChars="0" w:right="0" w:righ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本项目预算属于以下情形：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(1)项目为非预采购项目</w:t>
            </w:r>
            <w:r>
              <w:rPr>
                <w:rFonts w:hint="eastAsia"/>
                <w:sz w:val="24"/>
                <w:szCs w:val="24"/>
                <w:lang w:val="en-US" w:eastAsia="zh-CN"/>
              </w:rPr>
              <w:t>☑</w:t>
            </w:r>
            <w:r>
              <w:rPr>
                <w:rFonts w:hint="eastAsia"/>
                <w:sz w:val="24"/>
                <w:szCs w:val="24"/>
                <w:lang w:eastAsia="zh-CN"/>
              </w:rPr>
              <w:t xml:space="preserve"> </w:t>
            </w:r>
            <w:r>
              <w:rPr>
                <w:rFonts w:hint="eastAsia" w:ascii="宋体" w:hAnsi="宋体" w:eastAsia="宋体" w:cs="宋体"/>
                <w:sz w:val="24"/>
                <w:szCs w:val="24"/>
                <w:lang w:eastAsia="zh-CN"/>
              </w:rPr>
              <w:t xml:space="preserve">    预采购项目 </w:t>
            </w:r>
            <w:r>
              <w:rPr>
                <w:rFonts w:hint="eastAsia"/>
                <w:sz w:val="24"/>
                <w:szCs w:val="24"/>
                <w:lang w:val="en-US" w:eastAsia="zh-CN"/>
              </w:rPr>
              <w:t>□</w:t>
            </w:r>
            <w:r>
              <w:rPr>
                <w:rFonts w:hint="eastAsia"/>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(2)项目为（非）预采购项目，（预采购）预算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(3)项目为跨年度预采购项目，概算总金额 / 元，采购年限为 / 年，当年安排数 / 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根据《转发财政部关于做好政府采购信息公开工作的通知》（鲁财采【2015】33号）文件规定，预采购项目有取消和终止采购的可能。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5.6</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是否现场踏勘：（ 是</w:t>
            </w:r>
            <w:r>
              <w:rPr>
                <w:rFonts w:hint="eastAsia"/>
                <w:color w:val="auto"/>
                <w:sz w:val="24"/>
                <w:szCs w:val="24"/>
                <w:highlight w:val="none"/>
                <w:lang w:val="en-US" w:eastAsia="zh-CN"/>
              </w:rPr>
              <w:sym w:font="Wingdings 2" w:char="0052"/>
            </w:r>
            <w:r>
              <w:rPr>
                <w:rFonts w:hint="eastAsia"/>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 xml:space="preserve">  否</w:t>
            </w:r>
            <w:r>
              <w:rPr>
                <w:rFonts w:hint="eastAsia"/>
                <w:color w:val="auto"/>
                <w:sz w:val="24"/>
                <w:szCs w:val="24"/>
                <w:highlight w:val="none"/>
                <w:lang w:val="en-US" w:eastAsia="zh-CN"/>
              </w:rPr>
              <w:t>□</w:t>
            </w:r>
            <w:r>
              <w:rPr>
                <w:rFonts w:hint="eastAsia"/>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现场踏勘描述：统一现场考察</w:t>
            </w:r>
            <w:r>
              <w:rPr>
                <w:rFonts w:hint="eastAsia"/>
                <w:color w:val="auto"/>
                <w:sz w:val="24"/>
                <w:szCs w:val="24"/>
                <w:highlight w:val="none"/>
                <w:lang w:val="en-US" w:eastAsia="zh-CN"/>
              </w:rPr>
              <w:t>□</w:t>
            </w:r>
            <w:r>
              <w:rPr>
                <w:rFonts w:hint="eastAsia"/>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自行踏勘</w:t>
            </w:r>
            <w:r>
              <w:rPr>
                <w:rFonts w:hint="eastAsia"/>
                <w:color w:val="auto"/>
                <w:sz w:val="24"/>
                <w:szCs w:val="24"/>
                <w:highlight w:val="none"/>
                <w:lang w:val="en-US" w:eastAsia="zh-CN"/>
              </w:rPr>
              <w:sym w:font="Wingdings 2" w:char="0052"/>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现场踏勘时间： /年 / 月  / 日至  /  年  / 月 /  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踏勘地点：山东省临沂卫生学校扩建项目图书信息综合楼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是否答疑会：（是</w:t>
            </w:r>
            <w:r>
              <w:rPr>
                <w:rFonts w:hint="eastAsia"/>
                <w:color w:val="auto"/>
                <w:sz w:val="24"/>
                <w:szCs w:val="24"/>
                <w:highlight w:val="none"/>
                <w:lang w:val="en-US" w:eastAsia="zh-CN"/>
              </w:rPr>
              <w:t>□</w:t>
            </w:r>
            <w:r>
              <w:rPr>
                <w:rFonts w:hint="eastAsia"/>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 xml:space="preserve">  否</w:t>
            </w:r>
            <w:r>
              <w:rPr>
                <w:rFonts w:hint="eastAsia"/>
                <w:color w:val="auto"/>
                <w:sz w:val="24"/>
                <w:szCs w:val="24"/>
                <w:highlight w:val="none"/>
                <w:lang w:val="en-US" w:eastAsia="zh-CN"/>
              </w:rPr>
              <w:t>☑</w:t>
            </w:r>
            <w:r>
              <w:rPr>
                <w:rFonts w:hint="eastAsia"/>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答疑会描述：</w:t>
            </w:r>
            <w:r>
              <w:rPr>
                <w:rFonts w:hint="eastAsia" w:ascii="宋体" w:hAnsi="宋体" w:eastAsia="宋体" w:cs="宋体"/>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8.7</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是否兼投不兼中：（是</w:t>
            </w:r>
            <w:r>
              <w:rPr>
                <w:rFonts w:hint="eastAsia"/>
                <w:sz w:val="24"/>
                <w:szCs w:val="24"/>
                <w:lang w:val="en-US" w:eastAsia="zh-CN"/>
              </w:rPr>
              <w:t>□</w:t>
            </w:r>
            <w:r>
              <w:rPr>
                <w:rFonts w:hint="eastAsia"/>
                <w:sz w:val="24"/>
                <w:szCs w:val="24"/>
                <w:lang w:eastAsia="zh-CN"/>
              </w:rPr>
              <w:t xml:space="preserve"> </w:t>
            </w:r>
            <w:r>
              <w:rPr>
                <w:rFonts w:hint="eastAsia" w:ascii="宋体" w:hAnsi="宋体" w:eastAsia="宋体" w:cs="宋体"/>
                <w:sz w:val="24"/>
                <w:szCs w:val="24"/>
                <w:lang w:eastAsia="zh-CN"/>
              </w:rPr>
              <w:t xml:space="preserve">   否</w:t>
            </w:r>
            <w:r>
              <w:rPr>
                <w:rFonts w:hint="eastAsia"/>
                <w:sz w:val="24"/>
                <w:szCs w:val="24"/>
                <w:lang w:val="en-US" w:eastAsia="zh-CN"/>
              </w:rPr>
              <w:sym w:font="Wingdings 2" w:char="0052"/>
            </w:r>
            <w:r>
              <w:rPr>
                <w:rFonts w:hint="eastAsia"/>
                <w:sz w:val="24"/>
                <w:szCs w:val="24"/>
                <w:lang w:eastAsia="zh-CN"/>
              </w:rPr>
              <w:t xml:space="preserve"> </w:t>
            </w:r>
            <w:r>
              <w:rPr>
                <w:rFonts w:hint="eastAsia" w:ascii="宋体" w:hAnsi="宋体" w:eastAsia="宋体" w:cs="宋体"/>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如投标商对多个分包进行投标，可以中标</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u w:val="single"/>
              </w:rPr>
            </w:pPr>
            <w:r>
              <w:rPr>
                <w:rFonts w:hint="eastAsia" w:ascii="宋体" w:hAnsi="宋体" w:eastAsia="宋体" w:cs="宋体"/>
                <w:sz w:val="24"/>
                <w:szCs w:val="24"/>
              </w:rPr>
              <w:t xml:space="preserve">兼投不兼中描述： </w:t>
            </w:r>
            <w:r>
              <w:rPr>
                <w:rFonts w:hint="eastAsia" w:ascii="宋体" w:hAnsi="宋体" w:eastAsia="宋体" w:cs="宋体"/>
                <w:sz w:val="24"/>
                <w:szCs w:val="24"/>
                <w:u w:val="singl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9.3</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本项目是否采用电子投标：（是</w:t>
            </w:r>
            <w:r>
              <w:rPr>
                <w:rFonts w:hint="eastAsia"/>
                <w:color w:val="auto"/>
                <w:sz w:val="24"/>
                <w:szCs w:val="24"/>
                <w:lang w:val="en-US" w:eastAsia="zh-CN"/>
              </w:rPr>
              <w:t>☑</w:t>
            </w:r>
            <w:r>
              <w:rPr>
                <w:rFonts w:hint="eastAsia"/>
                <w:color w:val="auto"/>
                <w:sz w:val="24"/>
                <w:szCs w:val="24"/>
                <w:lang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否</w:t>
            </w:r>
            <w:r>
              <w:rPr>
                <w:rFonts w:hint="eastAsia"/>
                <w:color w:val="auto"/>
                <w:sz w:val="24"/>
                <w:szCs w:val="24"/>
                <w:lang w:val="en-US" w:eastAsia="zh-CN"/>
              </w:rPr>
              <w:t>□</w:t>
            </w:r>
            <w:r>
              <w:rPr>
                <w:rFonts w:hint="eastAsia" w:ascii="宋体" w:hAnsi="宋体" w:eastAsia="宋体" w:cs="宋体"/>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10.6.5</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2"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11.1</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lang w:eastAsia="zh-CN"/>
              </w:rPr>
            </w:pPr>
            <w:r>
              <w:rPr>
                <w:rFonts w:hint="eastAsia"/>
                <w:lang w:eastAsia="zh-CN"/>
              </w:rPr>
              <w:t>报价要求：</w:t>
            </w:r>
          </w:p>
          <w:p>
            <w:pPr>
              <w:pStyle w:val="29"/>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eastAsiaTheme="minorHAnsi"/>
                <w:b/>
                <w:sz w:val="22"/>
                <w:szCs w:val="22"/>
                <w:lang w:val="en-US" w:eastAsia="en-US" w:bidi="ar-SA"/>
              </w:rPr>
            </w:pPr>
            <w:r>
              <w:rPr>
                <w:rFonts w:hint="eastAsia" w:ascii="宋体" w:hAnsi="宋体" w:cs="宋体" w:eastAsiaTheme="minorHAnsi"/>
                <w:b/>
                <w:sz w:val="22"/>
                <w:szCs w:val="22"/>
                <w:lang w:val="en-US" w:eastAsia="en-US" w:bidi="ar-SA"/>
              </w:rPr>
              <w:t>本项目报价为含税报价，项目实施过程中发生的一切费用由成交人自行负责。项目报价为“指定地点”的“交钥匙”价（固定全费用单价），包括本次招标的设备材料从生产至验收合格交付使用的人民币报价，其中包括设备材料费、制作费、包装费、运输费、装卸费、安装、调试费、人工费、</w:t>
            </w:r>
            <w:r>
              <w:rPr>
                <w:rFonts w:hint="eastAsia" w:ascii="宋体" w:hAnsi="宋体" w:cs="宋体" w:eastAsiaTheme="minorHAnsi"/>
                <w:b/>
                <w:sz w:val="22"/>
                <w:szCs w:val="22"/>
                <w:lang w:val="en-US" w:eastAsia="zh-CN" w:bidi="ar-SA"/>
              </w:rPr>
              <w:t>井道改造费、电梯安装检测费</w:t>
            </w:r>
            <w:r>
              <w:rPr>
                <w:rFonts w:hint="eastAsia" w:ascii="宋体" w:hAnsi="宋体" w:cs="宋体" w:eastAsiaTheme="minorHAnsi"/>
                <w:b/>
                <w:sz w:val="22"/>
                <w:szCs w:val="22"/>
                <w:lang w:val="en-US" w:eastAsia="en-US" w:bidi="ar-SA"/>
              </w:rPr>
              <w:t>、措施费、规费、税金、验收费、培训费用</w:t>
            </w:r>
            <w:r>
              <w:rPr>
                <w:rFonts w:hint="eastAsia" w:ascii="宋体" w:hAnsi="宋体" w:cs="宋体" w:eastAsiaTheme="minorHAnsi"/>
                <w:b/>
                <w:sz w:val="22"/>
                <w:szCs w:val="22"/>
                <w:lang w:val="en-US" w:eastAsia="zh-CN" w:bidi="ar-SA"/>
              </w:rPr>
              <w:t>总包配合费</w:t>
            </w:r>
            <w:r>
              <w:rPr>
                <w:rFonts w:hint="eastAsia" w:ascii="宋体" w:hAnsi="宋体" w:cs="宋体" w:eastAsiaTheme="minorHAnsi"/>
                <w:b/>
                <w:sz w:val="22"/>
                <w:szCs w:val="22"/>
                <w:lang w:val="en-US" w:eastAsia="en-US" w:bidi="ar-SA"/>
              </w:rPr>
              <w:t>等，直至验收合格交付使用的一切费用以及本磋商文件明示或暗示的所有风险、责任和义务等全部内容，单价一次性包死、并以人民币报价。成交后不允许擅自改变服务内容、质量标准、期限与追加项目预算。供应商应充分考虑本项目合同实施期间可能发生的一切费用，并承担由此而带来的风险。</w:t>
            </w:r>
          </w:p>
          <w:p>
            <w:pPr>
              <w:pStyle w:val="29"/>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eastAsiaTheme="minorHAnsi"/>
                <w:b/>
                <w:sz w:val="22"/>
                <w:szCs w:val="22"/>
                <w:lang w:val="en-US" w:eastAsia="en-US" w:bidi="ar-SA"/>
              </w:rPr>
            </w:pPr>
            <w:r>
              <w:rPr>
                <w:rFonts w:hint="eastAsia" w:ascii="宋体" w:hAnsi="宋体" w:cs="宋体" w:eastAsiaTheme="minorHAnsi"/>
                <w:b/>
                <w:sz w:val="22"/>
                <w:szCs w:val="22"/>
                <w:lang w:val="en-US" w:eastAsia="en-US" w:bidi="ar-SA"/>
              </w:rPr>
              <w:t>其中电梯安装费用包括现场保管费、安装辅材、调试费、以及明示或隐含的所有风险、责任和义务、国家行政部门现行规定取费、脚手架及吊装费用、井道照明费用、安全防护费用、检测安全认证等为完成电梯安装调试所必须的一切费用。</w:t>
            </w:r>
          </w:p>
          <w:p>
            <w:pPr>
              <w:pStyle w:val="29"/>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eastAsiaTheme="minorHAnsi"/>
                <w:b/>
                <w:sz w:val="22"/>
                <w:szCs w:val="22"/>
                <w:lang w:val="en-US" w:eastAsia="zh-CN" w:bidi="ar-SA"/>
              </w:rPr>
            </w:pPr>
            <w:r>
              <w:rPr>
                <w:rFonts w:hint="eastAsia" w:ascii="宋体" w:hAnsi="宋体" w:cs="宋体" w:eastAsiaTheme="minorHAnsi"/>
                <w:b/>
                <w:sz w:val="22"/>
                <w:szCs w:val="22"/>
                <w:lang w:val="en-US" w:eastAsia="en-US" w:bidi="ar-SA"/>
              </w:rPr>
              <w:t>中标人应及时了解现场井道实际尺寸等情况，发现异常及时报告招标人，并同建设单位办理交接手续，除井道结构质量问题之外，井道处理发生的所有费用由中标人承担。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11.9</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样品演示    是</w:t>
            </w:r>
            <w:r>
              <w:rPr>
                <w:rFonts w:hint="eastAsia"/>
                <w:color w:val="auto"/>
                <w:sz w:val="24"/>
                <w:szCs w:val="24"/>
                <w:lang w:val="en-US" w:eastAsia="zh-CN"/>
              </w:rPr>
              <w:t>□</w:t>
            </w:r>
            <w:r>
              <w:rPr>
                <w:rFonts w:hint="eastAsia"/>
                <w:color w:val="auto"/>
                <w:sz w:val="24"/>
                <w:szCs w:val="24"/>
                <w:lang w:eastAsia="zh-CN"/>
              </w:rPr>
              <w:t xml:space="preserve"> </w:t>
            </w:r>
            <w:r>
              <w:rPr>
                <w:rFonts w:hint="eastAsia" w:ascii="宋体" w:hAnsi="宋体" w:eastAsia="宋体" w:cs="宋体"/>
                <w:color w:val="auto"/>
                <w:sz w:val="24"/>
                <w:szCs w:val="24"/>
                <w:lang w:eastAsia="zh-CN"/>
              </w:rPr>
              <w:t xml:space="preserve">  否</w:t>
            </w:r>
            <w:r>
              <w:rPr>
                <w:rFonts w:hint="eastAsia"/>
                <w:color w:val="auto"/>
                <w:sz w:val="24"/>
                <w:szCs w:val="24"/>
                <w:lang w:val="en-US" w:eastAsia="zh-CN"/>
              </w:rPr>
              <w:t>☑</w:t>
            </w:r>
            <w:r>
              <w:rPr>
                <w:rFonts w:hint="eastAsia"/>
                <w:color w:val="auto"/>
                <w:sz w:val="24"/>
                <w:szCs w:val="24"/>
                <w:lang w:eastAsia="zh-CN"/>
              </w:rPr>
              <w:t xml:space="preserve"> </w:t>
            </w:r>
            <w:r>
              <w:rPr>
                <w:rFonts w:hint="eastAsia" w:ascii="宋体" w:hAnsi="宋体" w:eastAsia="宋体" w:cs="宋体"/>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演示内容：</w:t>
            </w:r>
            <w:r>
              <w:rPr>
                <w:rFonts w:hint="eastAsia" w:ascii="宋体" w:hAnsi="宋体" w:eastAsia="宋体" w:cs="宋体"/>
                <w:color w:val="auto"/>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12</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保证金形式：□保函  □电汇  □支票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 xml:space="preserve">（本项目允许的其他形式）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保证金数额：/万元（按照各分包控制金额2%以内的整数计算）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保证金收款人：</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本项目无磋商保证金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13.1</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响应有效期：90日历日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14.1</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需自行上传的文件：加密电子响应文件 1 份。（电子标）</w:t>
            </w:r>
          </w:p>
          <w:p>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pacing w:val="0"/>
                <w:kern w:val="2"/>
                <w:lang w:eastAsia="zh-CN"/>
              </w:rPr>
              <w:t>响应文件纸质版：</w:t>
            </w:r>
            <w:r>
              <w:rPr>
                <w:rFonts w:hint="eastAsia" w:ascii="宋体" w:hAnsi="宋体" w:eastAsia="宋体" w:cs="宋体"/>
                <w:b/>
                <w:bCs/>
                <w:color w:val="auto"/>
                <w:spacing w:val="0"/>
                <w:kern w:val="2"/>
                <w:lang w:eastAsia="zh-CN"/>
              </w:rPr>
              <w:t>无需提供（确定成交后，成交人须在领取成交通知书时提供与电子标书内容一致的响应文件一正</w:t>
            </w:r>
            <w:r>
              <w:rPr>
                <w:rFonts w:hint="eastAsia" w:ascii="宋体" w:hAnsi="宋体" w:eastAsia="宋体" w:cs="宋体"/>
                <w:b/>
                <w:bCs/>
                <w:color w:val="auto"/>
                <w:spacing w:val="0"/>
                <w:kern w:val="2"/>
                <w:lang w:val="en-US" w:eastAsia="zh-CN"/>
              </w:rPr>
              <w:t>三</w:t>
            </w:r>
            <w:r>
              <w:rPr>
                <w:rFonts w:hint="eastAsia" w:ascii="宋体" w:hAnsi="宋体" w:eastAsia="宋体" w:cs="宋体"/>
                <w:b/>
                <w:bCs/>
                <w:color w:val="auto"/>
                <w:spacing w:val="0"/>
                <w:kern w:val="2"/>
                <w:lang w:eastAsia="zh-CN"/>
              </w:rPr>
              <w:t>副，以及U盘存储的word格式电子版）。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color w:val="auto"/>
                <w:sz w:val="24"/>
                <w:szCs w:val="24"/>
              </w:rPr>
            </w:pPr>
            <w:r>
              <w:rPr>
                <w:rFonts w:hint="eastAsia" w:ascii="宋体" w:hAnsi="宋体" w:eastAsia="宋体" w:cs="宋体"/>
                <w:color w:val="auto"/>
                <w:sz w:val="24"/>
                <w:szCs w:val="24"/>
              </w:rPr>
              <w:t>16．1</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响应文件提交截止时间：</w:t>
            </w:r>
            <w:r>
              <w:rPr>
                <w:rFonts w:hint="eastAsia" w:ascii="宋体" w:hAnsi="宋体" w:eastAsia="宋体" w:cs="宋体"/>
                <w:b/>
                <w:bCs/>
                <w:color w:val="auto"/>
                <w:sz w:val="24"/>
                <w:szCs w:val="24"/>
                <w:highlight w:val="none"/>
                <w:lang w:eastAsia="zh-CN"/>
              </w:rPr>
              <w:t>2021年</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月</w:t>
            </w:r>
            <w:r>
              <w:rPr>
                <w:rFonts w:hint="eastAsia" w:ascii="宋体" w:hAnsi="宋体" w:eastAsia="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lang w:eastAsia="zh-CN"/>
              </w:rPr>
              <w:t>日</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时</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eastAsia="zh-CN"/>
              </w:rPr>
              <w:t>0分（北京时间）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color w:val="auto"/>
                <w:sz w:val="24"/>
                <w:szCs w:val="24"/>
              </w:rPr>
            </w:pPr>
            <w:r>
              <w:rPr>
                <w:rFonts w:hint="eastAsia" w:ascii="宋体" w:hAnsi="宋体" w:eastAsia="宋体" w:cs="宋体"/>
                <w:color w:val="auto"/>
                <w:sz w:val="24"/>
                <w:szCs w:val="24"/>
              </w:rPr>
              <w:t>18.1</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开启响应文件时间：</w:t>
            </w:r>
            <w:r>
              <w:rPr>
                <w:rFonts w:hint="eastAsia" w:ascii="宋体" w:hAnsi="宋体" w:eastAsia="宋体" w:cs="宋体"/>
                <w:b/>
                <w:bCs/>
                <w:color w:val="auto"/>
                <w:sz w:val="24"/>
                <w:szCs w:val="24"/>
                <w:highlight w:val="none"/>
                <w:lang w:eastAsia="zh-CN"/>
              </w:rPr>
              <w:t>2021年</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月</w:t>
            </w:r>
            <w:r>
              <w:rPr>
                <w:rFonts w:hint="eastAsia" w:ascii="宋体" w:hAnsi="宋体" w:eastAsia="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lang w:eastAsia="zh-CN"/>
              </w:rPr>
              <w:t>日</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时</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eastAsia="zh-CN"/>
              </w:rPr>
              <w:t>0分（北京时间）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开启地点：临沂市公共资源交易中心 5 楼开标室（临沂市北城新区北京路 8 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28</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推荐成交候选供应商的数量：3个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28</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采购人是否委托磋商小组直接确定成交供应商：是</w:t>
            </w:r>
            <w:r>
              <w:rPr>
                <w:rFonts w:hint="eastAsia"/>
                <w:color w:val="auto"/>
                <w:sz w:val="24"/>
                <w:szCs w:val="24"/>
                <w:lang w:val="en-US" w:eastAsia="zh-CN"/>
              </w:rPr>
              <w:t>☑</w:t>
            </w:r>
            <w:r>
              <w:rPr>
                <w:rFonts w:hint="eastAsia"/>
                <w:color w:val="auto"/>
                <w:sz w:val="24"/>
                <w:szCs w:val="24"/>
                <w:lang w:eastAsia="zh-CN"/>
              </w:rPr>
              <w:t xml:space="preserve"> </w:t>
            </w:r>
            <w:r>
              <w:rPr>
                <w:rFonts w:hint="eastAsia" w:ascii="宋体" w:hAnsi="宋体" w:eastAsia="宋体" w:cs="宋体"/>
                <w:color w:val="auto"/>
                <w:sz w:val="24"/>
                <w:szCs w:val="24"/>
                <w:lang w:eastAsia="zh-CN"/>
              </w:rPr>
              <w:t xml:space="preserve">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32</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履约保证金金额：合同总价的　/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（不得超过政府采购合同金额的10%）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履约保证金形式：银行本票、银行汇票、电汇(含网银转账)、保函。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提交履约保证金的时间：签订合同后 / 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33.1</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本项目是否属于信用担保试点范围：     是</w:t>
            </w:r>
            <w:r>
              <w:rPr>
                <w:rFonts w:hint="eastAsia"/>
                <w:color w:val="auto"/>
                <w:sz w:val="24"/>
                <w:szCs w:val="24"/>
                <w:lang w:val="en-US" w:eastAsia="zh-CN"/>
              </w:rPr>
              <w:t>□</w:t>
            </w:r>
            <w:r>
              <w:rPr>
                <w:rFonts w:hint="eastAsia"/>
                <w:color w:val="auto"/>
                <w:sz w:val="24"/>
                <w:szCs w:val="24"/>
                <w:lang w:eastAsia="zh-CN"/>
              </w:rPr>
              <w:t xml:space="preserve"> </w:t>
            </w:r>
            <w:r>
              <w:rPr>
                <w:rFonts w:hint="eastAsia" w:ascii="宋体" w:hAnsi="宋体" w:eastAsia="宋体" w:cs="宋体"/>
                <w:color w:val="auto"/>
                <w:sz w:val="24"/>
                <w:szCs w:val="24"/>
                <w:lang w:eastAsia="zh-CN"/>
              </w:rPr>
              <w:t xml:space="preserve">  否</w:t>
            </w:r>
            <w:r>
              <w:rPr>
                <w:rFonts w:hint="eastAsia"/>
                <w:color w:val="auto"/>
                <w:sz w:val="24"/>
                <w:szCs w:val="24"/>
                <w:lang w:val="en-US" w:eastAsia="zh-CN"/>
              </w:rPr>
              <w:t>☑</w:t>
            </w:r>
            <w:r>
              <w:rPr>
                <w:rFonts w:hint="eastAsia"/>
                <w:color w:val="auto"/>
                <w:sz w:val="24"/>
                <w:szCs w:val="24"/>
                <w:lang w:eastAsia="zh-CN"/>
              </w:rPr>
              <w:t xml:space="preserve"> </w:t>
            </w:r>
            <w:r>
              <w:rPr>
                <w:rFonts w:hint="eastAsia" w:ascii="宋体" w:hAnsi="宋体" w:eastAsia="宋体" w:cs="宋体"/>
                <w:color w:val="auto"/>
                <w:sz w:val="24"/>
                <w:szCs w:val="24"/>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34.1</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预付款比例为：</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35.3</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反腐倡廉监督电话/邮箱：</w:t>
            </w:r>
            <w:r>
              <w:rPr>
                <w:rFonts w:hint="eastAsia" w:ascii="宋体" w:hAnsi="宋体" w:eastAsia="宋体" w:cs="宋体"/>
                <w:color w:val="auto"/>
                <w:sz w:val="24"/>
                <w:szCs w:val="24"/>
                <w:lang w:val="en-US" w:eastAsia="zh-CN"/>
              </w:rPr>
              <w:t>0539-8113015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37.3</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联系部门：招标部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eastAsia="宋体"/>
                <w:color w:val="auto"/>
                <w:sz w:val="24"/>
                <w:lang w:val="en-US" w:eastAsia="zh-CN"/>
              </w:rPr>
              <w:t>0539-7977896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通讯地址：</w:t>
            </w:r>
            <w:r>
              <w:rPr>
                <w:rFonts w:hint="eastAsia" w:eastAsia="宋体"/>
                <w:color w:val="auto"/>
                <w:sz w:val="24"/>
                <w:lang w:eastAsia="zh-CN"/>
              </w:rPr>
              <w:t>临沂正旭建设项目管理有限公司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38.1</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成交服务费：参照国家计委《招标代理服务收费管理暂行办法》（计价格〔2002〕1980 号）、国家发展改革委办公厅《关于招标代理服务收费有关问题的通知》（发改办价格〔2003〕857 号）规定,按服务类标准且以中标金额为基准计算并收取，由中标人支付，计算在总报价中。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支付形式：电汇或转账等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支付时间：领取中标通知书前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宋体" w:hAnsi="宋体" w:eastAsia="宋体" w:cs="宋体"/>
                <w:sz w:val="24"/>
                <w:szCs w:val="24"/>
              </w:rPr>
            </w:pPr>
            <w:r>
              <w:rPr>
                <w:rFonts w:hint="eastAsia" w:ascii="宋体" w:hAnsi="宋体" w:eastAsia="宋体" w:cs="宋体"/>
                <w:sz w:val="24"/>
                <w:szCs w:val="24"/>
              </w:rPr>
              <w:t>38.2</w:t>
            </w:r>
          </w:p>
        </w:tc>
        <w:tc>
          <w:tcPr>
            <w:tcW w:w="7287"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公证费/见证费：按照公证或见证收费标准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支付形式：电汇或转账等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支付时间：开标现场提交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适用于本供应商须知的额外增加的变动：</w:t>
            </w:r>
            <w:r>
              <w:rPr>
                <w:rFonts w:hint="eastAsia" w:ascii="宋体" w:hAnsi="宋体" w:eastAsia="宋体" w:cs="宋体"/>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w:t>
            </w:r>
          </w:p>
        </w:tc>
        <w:tc>
          <w:tcPr>
            <w:tcW w:w="7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法律法规对相应货物规定的条件：具体要求/无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2</w:t>
            </w:r>
          </w:p>
        </w:tc>
        <w:tc>
          <w:tcPr>
            <w:tcW w:w="7287" w:type="dxa"/>
            <w:vAlign w:val="center"/>
          </w:tcPr>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15" w:firstLine="0" w:firstLineChars="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1、投标人提供财务证明具有良好的商业信誉和健全的财务会计制度（会</w:t>
            </w:r>
            <w:r>
              <w:rPr>
                <w:rFonts w:hint="eastAsia" w:ascii="宋体" w:hAnsi="宋体" w:eastAsia="宋体" w:cs="宋体"/>
                <w:spacing w:val="3"/>
                <w:sz w:val="24"/>
                <w:szCs w:val="24"/>
                <w:lang w:eastAsia="zh-CN"/>
              </w:rPr>
              <w:t>计师事务所出具的20</w:t>
            </w:r>
            <w:r>
              <w:rPr>
                <w:rFonts w:hint="eastAsia" w:ascii="宋体" w:hAnsi="宋体" w:eastAsia="宋体" w:cs="宋体"/>
                <w:spacing w:val="3"/>
                <w:sz w:val="24"/>
                <w:szCs w:val="24"/>
                <w:lang w:val="en-US" w:eastAsia="zh-CN"/>
              </w:rPr>
              <w:t>19/2020</w:t>
            </w:r>
            <w:r>
              <w:rPr>
                <w:rFonts w:hint="eastAsia" w:ascii="宋体" w:hAnsi="宋体" w:eastAsia="宋体" w:cs="宋体"/>
                <w:spacing w:val="3"/>
                <w:sz w:val="24"/>
                <w:szCs w:val="24"/>
                <w:lang w:eastAsia="zh-CN"/>
              </w:rPr>
              <w:t>年度财务审计报告或银行出具的说明投标人商业信誉或结算情况等事项的证明文件）</w:t>
            </w:r>
            <w:r>
              <w:rPr>
                <w:rFonts w:hint="eastAsia" w:ascii="宋体" w:hAnsi="宋体" w:eastAsia="宋体" w:cs="宋体"/>
                <w:sz w:val="24"/>
                <w:szCs w:val="24"/>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15" w:firstLine="0" w:firstLineChars="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5"/>
                <w:sz w:val="24"/>
                <w:szCs w:val="24"/>
                <w:lang w:eastAsia="zh-CN"/>
              </w:rPr>
              <w:t>、</w:t>
            </w:r>
            <w:r>
              <w:rPr>
                <w:rFonts w:hint="eastAsia"/>
                <w:sz w:val="24"/>
                <w:szCs w:val="21"/>
                <w:lang w:eastAsia="zh-CN"/>
              </w:rPr>
              <w:t>提供投标人的近3个月的社保缴纳记录(新成立的公司提供自成立以来的缴纳记录)及依法缴纳税收的凭证；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3、在法规范围内不需提供的，应做书面说明和证明文件。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3</w:t>
            </w:r>
          </w:p>
        </w:tc>
        <w:tc>
          <w:tcPr>
            <w:tcW w:w="72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lang w:eastAsia="zh-CN"/>
              </w:rPr>
            </w:pPr>
            <w:r>
              <w:rPr>
                <w:rFonts w:hint="eastAsia" w:ascii="宋体" w:hAnsi="宋体" w:eastAsia="宋体" w:cs="宋体"/>
                <w:sz w:val="24"/>
                <w:szCs w:val="24"/>
                <w:lang w:eastAsia="zh-CN"/>
              </w:rPr>
              <w:t>是否允许供应商将项目非主体、非关键性工作交由他人完成：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rPr>
            </w:pPr>
            <w:r>
              <w:rPr>
                <w:rFonts w:hint="eastAsia" w:ascii="宋体" w:hAnsi="宋体" w:eastAsia="宋体" w:cs="宋体"/>
                <w:sz w:val="24"/>
                <w:szCs w:val="24"/>
              </w:rPr>
              <w:t>是</w:t>
            </w:r>
            <w:r>
              <w:rPr>
                <w:rFonts w:hint="eastAsia"/>
                <w:sz w:val="24"/>
                <w:szCs w:val="24"/>
                <w:lang w:val="en-US" w:eastAsia="zh-CN"/>
              </w:rPr>
              <w:t>□</w:t>
            </w:r>
            <w:r>
              <w:rPr>
                <w:rFonts w:hint="eastAsia"/>
                <w:sz w:val="24"/>
                <w:szCs w:val="24"/>
                <w:lang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否</w:t>
            </w:r>
            <w:r>
              <w:rPr>
                <w:rFonts w:hint="eastAsia"/>
                <w:sz w:val="24"/>
                <w:szCs w:val="24"/>
                <w:lang w:val="en-US" w:eastAsia="zh-CN"/>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rPr>
            </w:pPr>
            <w:r>
              <w:rPr>
                <w:rFonts w:hint="eastAsia" w:ascii="宋体" w:hAnsi="宋体" w:eastAsia="宋体" w:cs="宋体"/>
                <w:sz w:val="24"/>
                <w:szCs w:val="24"/>
              </w:rPr>
              <w:t xml:space="preserve">       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w:t>
            </w:r>
          </w:p>
        </w:tc>
        <w:tc>
          <w:tcPr>
            <w:tcW w:w="7287" w:type="dxa"/>
          </w:tcPr>
          <w:p>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rPr>
            </w:pPr>
            <w:r>
              <w:rPr>
                <w:rFonts w:hint="eastAsia" w:ascii="宋体" w:hAnsi="宋体" w:eastAsia="宋体" w:cs="宋体"/>
                <w:sz w:val="24"/>
                <w:szCs w:val="24"/>
              </w:rPr>
              <w:t>付款途径：财政支付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2</w:t>
            </w:r>
          </w:p>
        </w:tc>
        <w:tc>
          <w:tcPr>
            <w:tcW w:w="7287" w:type="dxa"/>
            <w:vAlign w:val="center"/>
          </w:tcPr>
          <w:p>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付款方式：合同签订生效具备实施条件后</w:t>
            </w:r>
            <w:r>
              <w:rPr>
                <w:rFonts w:hint="eastAsia" w:ascii="宋体" w:hAnsi="宋体" w:eastAsia="宋体" w:cs="宋体"/>
                <w:spacing w:val="-2"/>
                <w:sz w:val="24"/>
                <w:szCs w:val="24"/>
                <w:highlight w:val="none"/>
                <w:lang w:val="en-US" w:eastAsia="zh-CN"/>
              </w:rPr>
              <w:t>10个工作日内</w:t>
            </w:r>
            <w:r>
              <w:rPr>
                <w:rFonts w:hint="eastAsia" w:ascii="宋体" w:hAnsi="宋体" w:eastAsia="宋体" w:cs="宋体"/>
                <w:spacing w:val="-2"/>
                <w:sz w:val="24"/>
                <w:szCs w:val="24"/>
                <w:highlight w:val="none"/>
                <w:lang w:eastAsia="zh-CN"/>
              </w:rPr>
              <w:t>，预付合同金额的</w:t>
            </w:r>
            <w:r>
              <w:rPr>
                <w:rFonts w:hint="eastAsia" w:ascii="宋体" w:hAnsi="宋体" w:eastAsia="宋体" w:cs="宋体"/>
                <w:spacing w:val="-2"/>
                <w:sz w:val="24"/>
                <w:szCs w:val="24"/>
                <w:highlight w:val="none"/>
                <w:lang w:val="en-US" w:eastAsia="zh-CN"/>
              </w:rPr>
              <w:t>4</w:t>
            </w:r>
            <w:r>
              <w:rPr>
                <w:rFonts w:hint="eastAsia" w:ascii="宋体" w:hAnsi="宋体" w:eastAsia="宋体" w:cs="宋体"/>
                <w:spacing w:val="-2"/>
                <w:sz w:val="24"/>
                <w:szCs w:val="24"/>
                <w:highlight w:val="none"/>
                <w:lang w:eastAsia="zh-CN"/>
              </w:rPr>
              <w:t>0%作为下单款</w:t>
            </w:r>
            <w:r>
              <w:rPr>
                <w:rFonts w:hint="eastAsia" w:ascii="宋体" w:hAnsi="宋体" w:eastAsia="宋体" w:cs="宋体"/>
                <w:spacing w:val="-2"/>
                <w:sz w:val="24"/>
                <w:szCs w:val="24"/>
                <w:highlight w:val="none"/>
                <w:lang w:val="en-US" w:eastAsia="zh-CN"/>
              </w:rPr>
              <w:t>，</w:t>
            </w:r>
            <w:r>
              <w:rPr>
                <w:rFonts w:hint="eastAsia" w:ascii="宋体" w:hAnsi="宋体" w:eastAsia="宋体" w:cs="宋体"/>
                <w:spacing w:val="-2"/>
                <w:sz w:val="24"/>
                <w:szCs w:val="24"/>
                <w:highlight w:val="none"/>
                <w:lang w:eastAsia="zh-CN"/>
              </w:rPr>
              <w:t>货到工地10日内（安装之前）付至合同总金额的</w:t>
            </w:r>
            <w:r>
              <w:rPr>
                <w:rFonts w:hint="eastAsia" w:ascii="宋体" w:hAnsi="宋体" w:eastAsia="宋体" w:cs="宋体"/>
                <w:spacing w:val="-2"/>
                <w:sz w:val="24"/>
                <w:szCs w:val="24"/>
                <w:highlight w:val="none"/>
                <w:lang w:val="en-US" w:eastAsia="zh-CN"/>
              </w:rPr>
              <w:t>8</w:t>
            </w:r>
            <w:r>
              <w:rPr>
                <w:rFonts w:hint="eastAsia" w:ascii="宋体" w:hAnsi="宋体" w:eastAsia="宋体" w:cs="宋体"/>
                <w:spacing w:val="-2"/>
                <w:sz w:val="24"/>
                <w:szCs w:val="24"/>
                <w:highlight w:val="none"/>
                <w:lang w:eastAsia="zh-CN"/>
              </w:rPr>
              <w:t>0%，电梯安装、调试完成，全部完成经验收合格后付至合同总金额的9</w:t>
            </w:r>
            <w:r>
              <w:rPr>
                <w:rFonts w:hint="eastAsia" w:ascii="宋体" w:hAnsi="宋体" w:eastAsia="宋体" w:cs="宋体"/>
                <w:spacing w:val="-2"/>
                <w:sz w:val="24"/>
                <w:szCs w:val="24"/>
                <w:highlight w:val="none"/>
                <w:lang w:val="en-US" w:eastAsia="zh-CN"/>
              </w:rPr>
              <w:t>7</w:t>
            </w:r>
            <w:r>
              <w:rPr>
                <w:rFonts w:hint="eastAsia" w:ascii="宋体" w:hAnsi="宋体" w:eastAsia="宋体" w:cs="宋体"/>
                <w:spacing w:val="-2"/>
                <w:sz w:val="24"/>
                <w:szCs w:val="24"/>
                <w:highlight w:val="none"/>
                <w:lang w:eastAsia="zh-CN"/>
              </w:rPr>
              <w:t>%，剩余</w:t>
            </w: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lang w:eastAsia="zh-CN"/>
              </w:rPr>
              <w:t>%作为质保金两年后无质量问题一次性无息付清</w:t>
            </w:r>
            <w:r>
              <w:rPr>
                <w:rFonts w:hint="eastAsia" w:ascii="宋体" w:hAnsi="宋体" w:eastAsia="宋体" w:cs="宋体"/>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3</w:t>
            </w:r>
          </w:p>
        </w:tc>
        <w:tc>
          <w:tcPr>
            <w:tcW w:w="7287" w:type="dxa"/>
            <w:vAlign w:val="center"/>
          </w:tcPr>
          <w:p>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交付日期（服务期限）：自合同签订之日起</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0天内供货安装调试完毕。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4</w:t>
            </w:r>
          </w:p>
        </w:tc>
        <w:tc>
          <w:tcPr>
            <w:tcW w:w="7287" w:type="dxa"/>
            <w:vAlign w:val="center"/>
          </w:tcPr>
          <w:p>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交付地点：采购人指定地点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7287" w:type="dxa"/>
            <w:vAlign w:val="center"/>
          </w:tcPr>
          <w:p>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eastAsia="宋体" w:cs="宋体"/>
                <w:sz w:val="24"/>
                <w:szCs w:val="24"/>
                <w:lang w:eastAsia="zh-CN"/>
              </w:rPr>
            </w:pPr>
            <w:r>
              <w:rPr>
                <w:rFonts w:hint="eastAsia" w:ascii="宋体" w:hAnsi="宋体" w:eastAsia="宋体" w:cs="宋体"/>
                <w:sz w:val="24"/>
                <w:szCs w:val="24"/>
                <w:highlight w:val="none"/>
                <w:lang w:eastAsia="zh-CN"/>
              </w:rPr>
              <w:t>免费维护期、保修期：</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2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6</w:t>
            </w:r>
          </w:p>
        </w:tc>
        <w:tc>
          <w:tcPr>
            <w:tcW w:w="7287" w:type="dxa"/>
            <w:vAlign w:val="center"/>
          </w:tcPr>
          <w:p>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争议的解决：合同发生纠纷时，双方应协商解决，协商不成可以采用下列方式解决：（1）提交临沂市仲裁委员会仲裁；（2）向临沂市兰山区人民法院起诉。</w:t>
            </w:r>
          </w:p>
        </w:tc>
      </w:tr>
    </w:tbl>
    <w:p>
      <w:pPr>
        <w:rPr>
          <w:lang w:eastAsia="zh-CN"/>
        </w:rPr>
      </w:pPr>
    </w:p>
    <w:p>
      <w:pPr>
        <w:pStyle w:val="2"/>
        <w:rPr>
          <w:lang w:eastAsia="zh-CN"/>
        </w:rPr>
      </w:pPr>
    </w:p>
    <w:p>
      <w:pPr>
        <w:rPr>
          <w:rFonts w:ascii="宋体" w:hAnsi="宋体" w:eastAsia="宋体" w:cs="宋体"/>
          <w:sz w:val="20"/>
          <w:szCs w:val="20"/>
          <w:lang w:eastAsia="zh-CN"/>
        </w:rPr>
        <w:sectPr>
          <w:footerReference r:id="rId10" w:type="default"/>
          <w:pgSz w:w="11910" w:h="16840"/>
          <w:pgMar w:top="1460" w:right="1225" w:bottom="1180" w:left="1225" w:header="992" w:footer="1000" w:gutter="0"/>
          <w:pgNumType w:fmt="decimal"/>
          <w:cols w:space="720" w:num="1"/>
        </w:sectPr>
      </w:pPr>
    </w:p>
    <w:p>
      <w:pPr>
        <w:pStyle w:val="5"/>
        <w:spacing w:line="406" w:lineRule="exact"/>
        <w:ind w:left="1964" w:right="255"/>
        <w:jc w:val="both"/>
        <w:rPr>
          <w:b w:val="0"/>
          <w:bCs w:val="0"/>
          <w:lang w:eastAsia="zh-CN"/>
        </w:rPr>
      </w:pPr>
      <w:r>
        <w:rPr>
          <w:lang w:eastAsia="zh-CN"/>
        </w:rPr>
        <w:t>第4章</w:t>
      </w:r>
      <w:r>
        <w:rPr>
          <w:rFonts w:hint="eastAsia"/>
          <w:lang w:val="en-US" w:eastAsia="zh-CN"/>
        </w:rPr>
        <w:t xml:space="preserve"> </w:t>
      </w:r>
      <w:r>
        <w:rPr>
          <w:lang w:eastAsia="zh-CN"/>
        </w:rPr>
        <w:t>货物需求一览表及技术规格</w:t>
      </w:r>
    </w:p>
    <w:p>
      <w:pPr>
        <w:jc w:val="right"/>
        <w:rPr>
          <w:lang w:eastAsia="zh-CN"/>
        </w:rPr>
      </w:pPr>
    </w:p>
    <w:p>
      <w:pPr>
        <w:pStyle w:val="5"/>
        <w:numPr>
          <w:ilvl w:val="0"/>
          <w:numId w:val="4"/>
        </w:numPr>
        <w:spacing w:before="120" w:after="120"/>
        <w:ind w:left="0"/>
        <w:jc w:val="both"/>
        <w:rPr>
          <w:rFonts w:cs="宋体"/>
          <w:sz w:val="24"/>
          <w:szCs w:val="24"/>
        </w:rPr>
      </w:pPr>
      <w:r>
        <w:rPr>
          <w:rFonts w:hint="eastAsia" w:cs="宋体"/>
          <w:sz w:val="24"/>
          <w:szCs w:val="24"/>
          <w:lang w:eastAsia="zh-CN"/>
        </w:rPr>
        <w:t>项目</w:t>
      </w:r>
      <w:r>
        <w:rPr>
          <w:rFonts w:hint="eastAsia" w:cs="宋体"/>
          <w:sz w:val="24"/>
          <w:szCs w:val="24"/>
        </w:rPr>
        <w:t>概况</w:t>
      </w:r>
    </w:p>
    <w:p>
      <w:pPr>
        <w:numPr>
          <w:ilvl w:val="0"/>
          <w:numId w:val="5"/>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项目名称：山东省临沂卫生学校扩建项目图书信息综合楼电梯采购与安装项目</w:t>
      </w:r>
    </w:p>
    <w:p>
      <w:pPr>
        <w:numPr>
          <w:ilvl w:val="0"/>
          <w:numId w:val="5"/>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服务地点：山东省临沂卫生学校</w:t>
      </w:r>
    </w:p>
    <w:p>
      <w:pPr>
        <w:spacing w:line="360" w:lineRule="auto"/>
        <w:ind w:right="5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交付日期：自合同签订之日、自进场之日起</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0天内供货安装调试完毕。</w:t>
      </w:r>
    </w:p>
    <w:p>
      <w:pPr>
        <w:spacing w:line="360" w:lineRule="auto"/>
        <w:ind w:right="5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4.供应商所投产品均应达到国标或行业标准以上标准，且提供及时技术支持及维修维护。供应商提供产品须为符合国家质量检测标准的全新产品，有产品出厂合格证书，符合磋商文件要求。</w:t>
      </w:r>
    </w:p>
    <w:p>
      <w:pPr>
        <w:pStyle w:val="5"/>
        <w:spacing w:before="120" w:after="120"/>
        <w:ind w:left="0"/>
        <w:jc w:val="both"/>
        <w:rPr>
          <w:rFonts w:cs="宋体"/>
          <w:sz w:val="24"/>
          <w:szCs w:val="24"/>
          <w:lang w:eastAsia="zh-CN"/>
        </w:rPr>
      </w:pPr>
      <w:r>
        <w:rPr>
          <w:rFonts w:hint="eastAsia" w:cs="宋体"/>
          <w:sz w:val="24"/>
          <w:szCs w:val="24"/>
          <w:lang w:eastAsia="zh-CN"/>
        </w:rPr>
        <w:t>二、招标范围</w:t>
      </w:r>
    </w:p>
    <w:p>
      <w:pPr>
        <w:spacing w:line="360" w:lineRule="auto"/>
        <w:ind w:right="51"/>
        <w:rPr>
          <w:rFonts w:ascii="宋体" w:hAnsi="宋体" w:eastAsia="宋体" w:cs="宋体"/>
          <w:sz w:val="24"/>
          <w:szCs w:val="24"/>
          <w:lang w:eastAsia="zh-CN"/>
        </w:rPr>
      </w:pPr>
      <w:r>
        <w:rPr>
          <w:rFonts w:hint="eastAsia" w:ascii="宋体" w:hAnsi="宋体" w:eastAsia="宋体" w:cs="宋体"/>
          <w:sz w:val="24"/>
          <w:szCs w:val="24"/>
          <w:lang w:eastAsia="zh-CN"/>
        </w:rPr>
        <w:t>2.1 投标人提供的货物包含投标设备，伴随服务，以及安装、调试、验收、运行和维修投标设备所需的技术文件。</w:t>
      </w:r>
    </w:p>
    <w:p>
      <w:pPr>
        <w:spacing w:line="360" w:lineRule="auto"/>
        <w:ind w:right="51"/>
        <w:rPr>
          <w:rFonts w:ascii="宋体" w:hAnsi="宋体" w:eastAsia="宋体" w:cs="宋体"/>
          <w:sz w:val="24"/>
          <w:szCs w:val="24"/>
          <w:lang w:eastAsia="zh-CN"/>
        </w:rPr>
      </w:pPr>
      <w:r>
        <w:rPr>
          <w:rFonts w:hint="eastAsia" w:ascii="宋体" w:hAnsi="宋体" w:eastAsia="宋体" w:cs="宋体"/>
          <w:sz w:val="24"/>
          <w:szCs w:val="24"/>
          <w:lang w:eastAsia="zh-CN"/>
        </w:rPr>
        <w:t>2.2 本用户需求书并未充分引述有关标准和规范的条文，提出的是最低限度的技术要求，投标人应提供符合本需求书和工业制造标准的优质的成熟产品，以满足运行可靠、技术先进、空间节省、安装简单、维护方便、高效节能、控制灵活的要求。并且投标人可根据产品性能、自身经验，结合本项目的实际，对本次招标方案提出合理化建议，以反映投标人的实力。</w:t>
      </w:r>
    </w:p>
    <w:p>
      <w:pPr>
        <w:spacing w:line="360" w:lineRule="auto"/>
        <w:ind w:right="51"/>
        <w:rPr>
          <w:rFonts w:ascii="宋体" w:hAnsi="宋体" w:eastAsia="宋体" w:cs="宋体"/>
          <w:sz w:val="24"/>
          <w:szCs w:val="24"/>
          <w:lang w:eastAsia="zh-CN"/>
        </w:rPr>
      </w:pPr>
      <w:r>
        <w:rPr>
          <w:rFonts w:hint="eastAsia" w:ascii="宋体" w:hAnsi="宋体" w:eastAsia="宋体" w:cs="宋体"/>
          <w:sz w:val="24"/>
          <w:szCs w:val="24"/>
          <w:lang w:eastAsia="zh-CN"/>
        </w:rPr>
        <w:t>2.3 如果</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没有以书面形式对本需求书的条文提出异议，则意味着</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所提供的设备完全符合本需求书的要求，在以后的供货过程中不得有任何更改；如有异议，</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应在投标书中以“技术偏离表”为标题的专门章节中加以详细描述。</w:t>
      </w:r>
    </w:p>
    <w:p>
      <w:pPr>
        <w:spacing w:line="360" w:lineRule="auto"/>
        <w:ind w:right="51"/>
        <w:rPr>
          <w:rFonts w:ascii="宋体" w:hAnsi="宋体" w:eastAsia="宋体" w:cs="宋体"/>
          <w:sz w:val="24"/>
          <w:szCs w:val="24"/>
          <w:lang w:eastAsia="zh-CN"/>
        </w:rPr>
      </w:pPr>
      <w:r>
        <w:rPr>
          <w:rFonts w:hint="eastAsia" w:ascii="宋体" w:hAnsi="宋体" w:eastAsia="宋体" w:cs="宋体"/>
          <w:sz w:val="24"/>
          <w:szCs w:val="24"/>
          <w:lang w:eastAsia="zh-CN"/>
        </w:rPr>
        <w:t>2.4 本需求书所使用的标准如与</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所执行的标准发生矛盾时，按较高标准执行，同时</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应在投标书中加以注明，并附上引用的标准。</w:t>
      </w:r>
    </w:p>
    <w:p>
      <w:pPr>
        <w:spacing w:line="360" w:lineRule="auto"/>
        <w:ind w:right="51"/>
        <w:rPr>
          <w:rFonts w:ascii="宋体" w:hAnsi="宋体" w:eastAsia="宋体" w:cs="宋体"/>
          <w:sz w:val="24"/>
          <w:szCs w:val="24"/>
          <w:lang w:eastAsia="zh-CN"/>
        </w:rPr>
      </w:pPr>
      <w:r>
        <w:rPr>
          <w:rFonts w:hint="eastAsia" w:ascii="宋体" w:hAnsi="宋体" w:eastAsia="宋体" w:cs="宋体"/>
          <w:sz w:val="24"/>
          <w:szCs w:val="24"/>
          <w:lang w:eastAsia="zh-CN"/>
        </w:rPr>
        <w:t>2.5 简洁有效地说明本</w:t>
      </w:r>
      <w:r>
        <w:rPr>
          <w:rFonts w:hint="eastAsia" w:ascii="宋体" w:hAnsi="宋体" w:eastAsia="宋体" w:cs="宋体"/>
          <w:sz w:val="24"/>
          <w:szCs w:val="24"/>
          <w:lang w:val="en-US" w:eastAsia="zh-CN"/>
        </w:rPr>
        <w:t>项目</w:t>
      </w:r>
      <w:r>
        <w:rPr>
          <w:rFonts w:hint="eastAsia" w:ascii="宋体" w:hAnsi="宋体" w:eastAsia="宋体" w:cs="宋体"/>
          <w:sz w:val="24"/>
          <w:szCs w:val="24"/>
          <w:lang w:eastAsia="zh-CN"/>
        </w:rPr>
        <w:t>中由承包人负责采购的设备材料质量和技术要求，其目的是为了方便承包人直观和准确地把握本</w:t>
      </w:r>
      <w:r>
        <w:rPr>
          <w:rFonts w:hint="eastAsia" w:ascii="宋体" w:hAnsi="宋体" w:eastAsia="宋体" w:cs="宋体"/>
          <w:sz w:val="24"/>
          <w:szCs w:val="24"/>
          <w:lang w:val="en-US" w:eastAsia="zh-CN"/>
        </w:rPr>
        <w:t>项目</w:t>
      </w:r>
      <w:r>
        <w:rPr>
          <w:rFonts w:hint="eastAsia" w:ascii="宋体" w:hAnsi="宋体" w:eastAsia="宋体" w:cs="宋体"/>
          <w:sz w:val="24"/>
          <w:szCs w:val="24"/>
          <w:lang w:eastAsia="zh-CN"/>
        </w:rPr>
        <w:t>所用材料设备的技术和质量标准，并不代表任何指定的或唯一的意思表示，承包人应当根据所列质量技术标准，参考所列品牌的材料设备，选择相当于所列品牌的技术和质量标准的材料设备。</w:t>
      </w:r>
    </w:p>
    <w:p>
      <w:pPr>
        <w:pStyle w:val="11"/>
        <w:ind w:firstLine="0"/>
        <w:rPr>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ascii="宋体" w:hAnsi="宋体" w:eastAsia="宋体" w:cs="宋体"/>
          <w:b/>
          <w:bCs/>
          <w:sz w:val="24"/>
          <w:szCs w:val="24"/>
          <w:highlight w:val="none"/>
          <w:lang w:eastAsia="zh-CN"/>
        </w:rPr>
        <w:t>货物需求一览表及技术规格</w:t>
      </w:r>
    </w:p>
    <w:p>
      <w:pPr>
        <w:pStyle w:val="29"/>
        <w:rPr>
          <w:rFonts w:ascii="宋体" w:hAnsi="宋体" w:eastAsia="宋体" w:cs="宋体"/>
          <w:b/>
          <w:bCs/>
          <w:sz w:val="24"/>
          <w:szCs w:val="24"/>
          <w:highlight w:val="yellow"/>
          <w:lang w:eastAsia="zh-CN"/>
        </w:rPr>
      </w:pPr>
    </w:p>
    <w:p>
      <w:pPr>
        <w:pStyle w:val="29"/>
        <w:rPr>
          <w:rFonts w:ascii="宋体" w:hAnsi="宋体" w:eastAsia="宋体" w:cs="宋体"/>
          <w:b/>
          <w:bCs/>
          <w:sz w:val="24"/>
          <w:szCs w:val="24"/>
          <w:highlight w:val="yellow"/>
          <w:lang w:eastAsia="zh-CN"/>
        </w:rPr>
      </w:pPr>
    </w:p>
    <w:p>
      <w:pPr>
        <w:pStyle w:val="29"/>
        <w:rPr>
          <w:rFonts w:ascii="宋体" w:hAnsi="宋体" w:eastAsia="宋体" w:cs="宋体"/>
          <w:b/>
          <w:bCs/>
          <w:sz w:val="24"/>
          <w:szCs w:val="24"/>
          <w:highlight w:val="yellow"/>
          <w:lang w:eastAsia="zh-CN"/>
        </w:rPr>
      </w:pPr>
    </w:p>
    <w:p>
      <w:pPr>
        <w:pStyle w:val="29"/>
        <w:rPr>
          <w:rFonts w:ascii="宋体" w:hAnsi="宋体" w:eastAsia="宋体" w:cs="宋体"/>
          <w:b/>
          <w:bCs/>
          <w:sz w:val="24"/>
          <w:szCs w:val="24"/>
          <w:highlight w:val="yellow"/>
          <w:lang w:eastAsia="zh-CN"/>
        </w:rPr>
      </w:pPr>
    </w:p>
    <w:p>
      <w:pPr>
        <w:pStyle w:val="29"/>
        <w:rPr>
          <w:rFonts w:ascii="宋体" w:hAnsi="宋体" w:eastAsia="宋体" w:cs="宋体"/>
          <w:b/>
          <w:bCs/>
          <w:sz w:val="24"/>
          <w:szCs w:val="24"/>
          <w:highlight w:val="yellow"/>
          <w:lang w:eastAsia="zh-CN"/>
        </w:rPr>
      </w:pPr>
    </w:p>
    <w:tbl>
      <w:tblPr>
        <w:tblStyle w:val="23"/>
        <w:tblW w:w="958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4"/>
        <w:gridCol w:w="622"/>
        <w:gridCol w:w="1759"/>
        <w:gridCol w:w="2977"/>
        <w:gridCol w:w="693"/>
        <w:gridCol w:w="1088"/>
        <w:gridCol w:w="936"/>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trPr>
        <w:tc>
          <w:tcPr>
            <w:tcW w:w="9587"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山东省临沂卫生学校扩建图书信息综合楼-电梯采购及安装项目采购清单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采购内容</w:t>
            </w:r>
          </w:p>
        </w:tc>
        <w:tc>
          <w:tcPr>
            <w:tcW w:w="473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85" w:name="_GoBack"/>
            <w:bookmarkEnd w:id="185"/>
            <w:r>
              <w:rPr>
                <w:rFonts w:hint="eastAsia" w:ascii="宋体" w:hAnsi="宋体" w:eastAsia="宋体" w:cs="宋体"/>
                <w:i w:val="0"/>
                <w:iCs w:val="0"/>
                <w:color w:val="000000"/>
                <w:kern w:val="0"/>
                <w:sz w:val="24"/>
                <w:szCs w:val="24"/>
                <w:u w:val="none"/>
                <w:lang w:val="en-US" w:eastAsia="zh-CN" w:bidi="ar"/>
              </w:rPr>
              <w:t>相关参数</w:t>
            </w:r>
          </w:p>
        </w:tc>
        <w:tc>
          <w:tcPr>
            <w:tcW w:w="69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全费用单价（元）</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c>
          <w:tcPr>
            <w:tcW w:w="9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货梯</w:t>
            </w: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电梯号</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9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1部</w:t>
            </w:r>
          </w:p>
        </w:tc>
        <w:tc>
          <w:tcPr>
            <w:tcW w:w="1088" w:type="dxa"/>
            <w:vMerge w:val="restart"/>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restart"/>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含井道改造（加设槽钢或工字钢、隔离网）等工作内容。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用途</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有机房高档乘客电梯，须为公司产品中高端系列，非住宅类，接受考察</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载重量</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1600KG</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速度</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1.0m/s</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控制方式</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单控</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停站层</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6层6站6门</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顶层高度(mm)</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4400</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底坑深度(mm)</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轿厢内尺寸</w:t>
            </w:r>
            <w:r>
              <w:rPr>
                <w:rStyle w:val="44"/>
                <w:rFonts w:eastAsia="宋体"/>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(mm)</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 X 1700</w:t>
            </w:r>
            <w:r>
              <w:rPr>
                <w:rStyle w:val="44"/>
                <w:rFonts w:eastAsia="宋体"/>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X 2300</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井道净尺寸</w:t>
            </w:r>
            <w:r>
              <w:rPr>
                <w:rStyle w:val="44"/>
                <w:rFonts w:eastAsia="宋体"/>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(mm)</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3100X3100</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轿厢门尺寸</w:t>
            </w:r>
            <w:r>
              <w:rPr>
                <w:rStyle w:val="44"/>
                <w:rFonts w:eastAsia="宋体"/>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(mm)</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1100X2100</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开门方式</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中分门</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轿厢天花板型号</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中高端饰面</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轿内净高（mm）</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轿厢地板</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PVC拼花地板</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2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客梯</w:t>
            </w: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轿厢壁</w:t>
            </w:r>
          </w:p>
        </w:tc>
        <w:tc>
          <w:tcPr>
            <w:tcW w:w="297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发纹不锈钢，厚度为国标1.2mm</w:t>
            </w:r>
          </w:p>
        </w:tc>
        <w:tc>
          <w:tcPr>
            <w:tcW w:w="69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1部</w:t>
            </w:r>
          </w:p>
        </w:tc>
        <w:tc>
          <w:tcPr>
            <w:tcW w:w="1088" w:type="dxa"/>
            <w:vMerge w:val="restart"/>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restart"/>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轿厢门</w:t>
            </w:r>
          </w:p>
        </w:tc>
        <w:tc>
          <w:tcPr>
            <w:tcW w:w="2977" w:type="dxa"/>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发纹不锈钢</w:t>
            </w:r>
            <w:r>
              <w:rPr>
                <w:rFonts w:hint="eastAsia" w:ascii="宋体" w:hAnsi="宋体" w:eastAsia="宋体" w:cs="宋体"/>
                <w:i w:val="0"/>
                <w:iCs w:val="0"/>
                <w:color w:val="000000"/>
                <w:kern w:val="0"/>
                <w:sz w:val="24"/>
                <w:szCs w:val="24"/>
                <w:u w:val="none"/>
                <w:lang w:val="en-US" w:eastAsia="zh-CN" w:bidi="ar"/>
              </w:rPr>
              <w:t>厚度为国标1.2mm</w:t>
            </w:r>
          </w:p>
          <w:p>
            <w:pPr>
              <w:pStyle w:val="29"/>
              <w:rPr>
                <w:rFonts w:hint="eastAsia"/>
              </w:rPr>
            </w:pP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轿厢前壁板</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发纹不锈钢厚度为国标1.2mm</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不锈钢圆扶手</w:t>
            </w:r>
          </w:p>
        </w:tc>
        <w:tc>
          <w:tcPr>
            <w:tcW w:w="297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二侧(不锈钢扁扶手）</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轿厢地坎</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硬质铝</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轿厢操作盘</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（液晶显示器）</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首层厅门</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发纹不锈钢厚度为国标1.5mm</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其它层厅门</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发纹不锈钢厚度为国标1.5mm</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层站召唤按钮</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（液晶外呼）</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门坎</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硬质铝</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0"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必带功能</w:t>
            </w:r>
          </w:p>
        </w:tc>
        <w:tc>
          <w:tcPr>
            <w:tcW w:w="29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消防专用、光幕保护、满员自动通过、轿内通风自动关闭、轿内照明（LED灯）自动关闭、误指令人工消除、钢牛腿、轿内超载指示、ITV视频线缆（数字式）</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37" w:hRule="atLeast"/>
        </w:trPr>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622" w:type="dxa"/>
            <w:vMerge w:val="continue"/>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7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w:t>
            </w:r>
          </w:p>
        </w:tc>
        <w:tc>
          <w:tcPr>
            <w:tcW w:w="297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机房开孔、井道改造、加固。井道改造包含机房、墙面地面开孔、井道圈梁不合适支架无法固定须加设槽钢或工字钢，井道宽度深度过大，如超过850mm须加设隔离网、门过量整改、厅门外呼叫按钮及消防按钮开孔、剔凿，以上整改需满足电梯验收要求。</w:t>
            </w:r>
          </w:p>
        </w:tc>
        <w:tc>
          <w:tcPr>
            <w:tcW w:w="693" w:type="dxa"/>
            <w:vMerge w:val="continue"/>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88" w:type="dxa"/>
            <w:vMerge w:val="continue"/>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936" w:type="dxa"/>
            <w:vMerge w:val="continue"/>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948" w:type="dxa"/>
            <w:vMerge w:val="continue"/>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0" w:hRule="atLeast"/>
        </w:trPr>
        <w:tc>
          <w:tcPr>
            <w:tcW w:w="9587"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报价为“指定地点”的“交钥匙”价（固定全费用单价），包括设备材料从生产至验收合格交付使用的人民币报价，其中包括设备材料费、制作费、包装费、运输费、装卸费、安装、调试费、人工费、检验检测费、措施费、规费、税金、验收费、总包配合费、水电费、培训费用等一切费用，直至验收合格交付使用的一切费用以及本磋商文件明示或暗示的所有风险、责任和义务等全部内容。还包含提供交竣工验收资料不少于4套纸质及电子版竣工验收资料。单价一次性包死、并以人民币报价。成交后不允许擅自改变服务内容、质量标准、期限与追加项目预算。供应商应充分考虑本项目合同实施期间可能发生的一切费用，并承担由此而带来的风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
      <w:pPr>
        <w:pStyle w:val="2"/>
      </w:pPr>
    </w:p>
    <w:p>
      <w:pPr>
        <w:pStyle w:val="2"/>
        <w:ind w:left="0" w:leftChars="0" w:firstLine="0" w:firstLineChars="0"/>
        <w:rPr>
          <w:rFonts w:hint="default" w:ascii="宋体" w:hAnsi="宋体" w:eastAsia="宋体" w:cs="宋体"/>
          <w:b/>
          <w:bCs/>
          <w:sz w:val="24"/>
          <w:lang w:val="en-US" w:eastAsia="zh-CN"/>
        </w:rPr>
      </w:pPr>
      <w:r>
        <w:rPr>
          <w:rFonts w:hint="eastAsia" w:cs="宋体"/>
          <w:b/>
          <w:bCs/>
          <w:sz w:val="24"/>
          <w:lang w:val="en-US" w:eastAsia="zh-CN"/>
        </w:rPr>
        <w:t>（1）电梯</w:t>
      </w:r>
      <w:r>
        <w:rPr>
          <w:rFonts w:hint="eastAsia" w:ascii="宋体" w:hAnsi="宋体" w:eastAsia="宋体" w:cs="宋体"/>
          <w:b/>
          <w:bCs/>
          <w:sz w:val="24"/>
          <w:lang w:val="en-US" w:eastAsia="zh-CN"/>
        </w:rPr>
        <w:t>功能要求：</w:t>
      </w:r>
    </w:p>
    <w:tbl>
      <w:tblPr>
        <w:tblStyle w:val="23"/>
        <w:tblW w:w="7957"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57"/>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功能</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功能简称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自动再平层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电梯受阻失速保护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制动器冗余保护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轿厢微机异常处理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轿内反向指令消除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857"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轿内通风装置手动关闭（按钮型）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857"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轿内照明手动关闭（按钮型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轿厢溜车安全保护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轿内运行方向指示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层站运行方向指示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门锁旁路运行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关门按钮响应指示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换向重幵门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门负载检测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幵门按钮响应指示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幵门受阻控制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幵门保持时间自动调整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19</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门锁短接保护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关门力矩控制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21</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轿厢应急照明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运行次数与时间统计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即时关门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紧急电动运行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故障自诊断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26</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轿内报警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27</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电气安全回路保护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28</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消防运行到位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29</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层站按钮灯闪烁指示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层高自测定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31</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层站召唤自动登记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32</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层站微机异常处理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33</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层站运行控制幵关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34</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独立运行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检修操作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36</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多方通话装置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37</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称重启动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38</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电梯不启动报警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39</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次层停靠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过电流保护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41</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超载报警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42</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超速保护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43</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电机过热保护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44</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过电压保护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45</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电源故障保护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46</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上电再平层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47</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重复关门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48</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本层再幵门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49</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逆行保护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选层器修正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51</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安全停靠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52</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停层幵门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53</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逆变装置高温检测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54</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终端强制减速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55</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轿厢意外移动保护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56</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过低速保护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57</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语音报站装置（中英文轮报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58</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满员自动通过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59</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光幕保护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60</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层站直达运行指示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61</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轿内通风装置自动关闭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62</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轿内照明自动关闭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63</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轿内误指令人工消除（轿内按 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64</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消防专用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65</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层站误召唤人工消除（层站按 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66</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ITV电缆（数字式）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57" w:type="dxa"/>
            <w:tcBorders>
              <w:tl2br w:val="nil"/>
              <w:tr2bl w:val="nil"/>
            </w:tcBorders>
            <w:shd w:val="solid" w:color="FFFFFF" w:fill="auto"/>
            <w:noWrap w:val="0"/>
            <w:vAlign w:val="top"/>
          </w:tcPr>
          <w:p>
            <w:pPr>
              <w:spacing w:beforeLines="0" w:afterLine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67</w:t>
            </w:r>
          </w:p>
        </w:tc>
        <w:tc>
          <w:tcPr>
            <w:tcW w:w="5100" w:type="dxa"/>
            <w:tcBorders>
              <w:tl2br w:val="nil"/>
              <w:tr2bl w:val="nil"/>
            </w:tcBorders>
            <w:shd w:val="solid" w:color="FFFFFF" w:fill="auto"/>
            <w:noWrap w:val="0"/>
            <w:vAlign w:val="top"/>
          </w:tcPr>
          <w:p>
            <w:pPr>
              <w:spacing w:beforeLines="0" w:afterLine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轿内超载指示</w:t>
            </w:r>
          </w:p>
        </w:tc>
      </w:tr>
    </w:tbl>
    <w:p/>
    <w:p>
      <w:pPr>
        <w:pStyle w:val="2"/>
        <w:ind w:left="0" w:leftChars="0" w:firstLine="0" w:firstLineChars="0"/>
        <w:rPr>
          <w:rFonts w:hint="eastAsia" w:ascii="宋体" w:hAnsi="宋体" w:eastAsia="宋体" w:cs="宋体"/>
          <w:b/>
          <w:bCs/>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2）</w:t>
      </w:r>
      <w:r>
        <w:rPr>
          <w:rFonts w:hint="eastAsia" w:ascii="宋体" w:hAnsi="宋体" w:eastAsia="宋体" w:cs="宋体"/>
          <w:b/>
          <w:bCs/>
          <w:sz w:val="24"/>
        </w:rPr>
        <w:t>电梯功能配置</w:t>
      </w:r>
      <w:r>
        <w:rPr>
          <w:rFonts w:hint="eastAsia" w:ascii="宋体" w:hAnsi="宋体" w:eastAsia="宋体" w:cs="宋体"/>
          <w:b/>
          <w:bCs/>
          <w:sz w:val="24"/>
          <w:lang w:eastAsia="zh-CN"/>
        </w:rPr>
        <w:t>其它</w:t>
      </w:r>
      <w:r>
        <w:rPr>
          <w:rFonts w:hint="eastAsia" w:ascii="宋体" w:hAnsi="宋体" w:eastAsia="宋体" w:cs="宋体"/>
          <w:b/>
          <w:bCs/>
          <w:sz w:val="24"/>
        </w:rPr>
        <w:t>要求：</w:t>
      </w:r>
    </w:p>
    <w:tbl>
      <w:tblPr>
        <w:tblStyle w:val="23"/>
        <w:tblW w:w="7957"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93" w:hRule="atLeast"/>
        </w:trPr>
        <w:tc>
          <w:tcPr>
            <w:tcW w:w="7957" w:type="dxa"/>
            <w:tcBorders>
              <w:tl2br w:val="nil"/>
              <w:tr2bl w:val="nil"/>
            </w:tcBorders>
            <w:shd w:val="clear" w:color="auto" w:fill="auto"/>
            <w:noWrap w:val="0"/>
            <w:vAlign w:val="top"/>
          </w:tcPr>
          <w:p>
            <w:pPr>
              <w:rPr>
                <w:rFonts w:hint="eastAsia" w:ascii="宋体" w:hAnsi="宋体" w:eastAsia="宋体" w:cs="宋体"/>
              </w:rPr>
            </w:pPr>
          </w:p>
          <w:p>
            <w:pPr>
              <w:snapToGrid w:val="0"/>
              <w:spacing w:line="360" w:lineRule="auto"/>
              <w:jc w:val="both"/>
              <w:rPr>
                <w:rFonts w:hint="eastAsia" w:ascii="宋体" w:hAnsi="宋体" w:eastAsia="宋体" w:cs="宋体"/>
                <w:sz w:val="24"/>
              </w:rPr>
            </w:pPr>
            <w:r>
              <w:rPr>
                <w:rFonts w:hint="eastAsia" w:ascii="宋体" w:hAnsi="宋体" w:eastAsia="宋体" w:cs="宋体"/>
                <w:sz w:val="24"/>
              </w:rPr>
              <w:t>电梯功能配置</w:t>
            </w:r>
            <w:r>
              <w:rPr>
                <w:rFonts w:hint="eastAsia" w:ascii="宋体" w:hAnsi="宋体" w:eastAsia="宋体" w:cs="宋体"/>
                <w:sz w:val="24"/>
                <w:lang w:eastAsia="zh-CN"/>
              </w:rPr>
              <w:t>其它</w:t>
            </w:r>
            <w:r>
              <w:rPr>
                <w:rFonts w:hint="eastAsia" w:ascii="宋体" w:hAnsi="宋体" w:eastAsia="宋体" w:cs="宋体"/>
                <w:sz w:val="24"/>
              </w:rPr>
              <w:t>要求：</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1.全集选控制功能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2.超载保护功能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3.超载报警功能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4.超速电气保护功能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5.超速机械保护功能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6.门过载保护功能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7.警铃报警功能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8.对讲机通讯功能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9.电动机空转保护功能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10.光幕保护功能（不少于115束）</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11.机房调试功能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12.开门异常自动选层功能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13.开关门时间超常保护功能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14.故障低速自救运行功能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15.停车在非门区报警功能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16.位置异常自动校正功能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17.停电应急照明功能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18.轿顶检修操作功能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19.轿内慢速运行功能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20.泊梯功能（泊梯层）</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21.无呼自返基站功能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22.高效运行控制功能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23.电动机过载保护功能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24.门停止运行功能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25.起动补偿功能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26.开门时间自动调整功能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27.开门时间自动控制功能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28.运行次数显示功能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29.轿内照明自动控制功能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30.轿内通风自动控制功能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31.故障自动检测功能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32.故障自动存储功能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33.待机定期自检功能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34.层高自测定功能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34.层高自测定功能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35.消防迫降功能(迫降层1层)</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36.同步电机磁极码静态测试功能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37.底坑对讲机通讯功能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38.反向内指令自动消除功能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39.抱闸动作的双安全检测</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40.厅外检修显示功能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41电梯服务支援系统</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42.消防员专用运行功能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43.数字式五方通话功能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44.轿内误指令取消功能</w:t>
            </w:r>
          </w:p>
          <w:p>
            <w:pPr>
              <w:snapToGrid w:val="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45. 消防员专用功能</w:t>
            </w:r>
          </w:p>
          <w:p>
            <w:pPr>
              <w:snapToGrid w:val="0"/>
              <w:spacing w:line="360" w:lineRule="auto"/>
              <w:ind w:firstLine="480" w:firstLineChars="200"/>
              <w:jc w:val="both"/>
              <w:rPr>
                <w:rFonts w:hint="eastAsia" w:ascii="宋体" w:hAnsi="宋体" w:eastAsia="宋体" w:cs="宋体"/>
              </w:rPr>
            </w:pPr>
            <w:r>
              <w:rPr>
                <w:rFonts w:hint="eastAsia" w:ascii="宋体" w:hAnsi="宋体" w:eastAsia="宋体" w:cs="宋体"/>
                <w:sz w:val="24"/>
              </w:rPr>
              <w:t>46. 五方通话功能</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300"/>
        <w:jc w:val="left"/>
        <w:textAlignment w:val="center"/>
        <w:rPr>
          <w:rFonts w:hint="eastAsia" w:ascii="宋体" w:hAnsi="宋体" w:eastAsia="宋体" w:cs="宋体"/>
          <w:b/>
          <w:bCs/>
          <w:i w:val="0"/>
          <w:iCs w:val="0"/>
          <w:color w:val="FF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30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四、供货范围及要求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1、要求提供保证正常运转的全套全新设备。并列出主机、控制柜、曳引机、门机、限速器、安全钳等件的名称、规格型号、数量明细及生产厂商、产地。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2、供货方应在质量保证期内无偿提供和更换非采购人损坏的设备和部件。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3、供应商所提报产品型号的电梯关键部件（曳引机、控制柜、门机、限速器、安全钳），供应商须提供上述电梯关键部件的特种设备型式试验合格证及型式试验报告的复印件加盖公章。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4、须提供加盖公章的特种设备型式试验合格证及型式试验报告复印件备查。如发现供应商提供的有关资格、资质、证书、报告书、质量和业绩证明文件不真实，提供虚假证明材料的，视为废标，并赔偿由此给采购人及第三方造成的全部损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五、备品备件及特殊工具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1、应提供满足设备安装、现场调试等所需要的各种备品备件及易损件。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2、设备验收后运行质保期内所需的备品备件中标供应商应免费提供并免费更换，该费用应包括在设备的投标报价中。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六、 技术文件资料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1、供应商提供的技术文件，应完整清晰，便于查阅，用中文简体字编写；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2、供货设备的设计参数、工艺参数、消耗参数及说明；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3、供货进度一览表；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4、其他随机资料齐全。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七、产品质量、质量保证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1、按照国家有关规定质量保证期为电梯最终验收达到运行条件后至少 24 个月（以检测机构出具合格报告的日期为起始日/电梯交付采购方正常投入使用办理交接之日起计算），将对所提供的设备进行免费维修维护保养服务。应保证在合同规定的质量保证期内，对因其提供的设计、工艺、制造、安装、调试或材料缺陷及所有供应商责任引起该设备的任何缺陷、故障和损坏负责；在接到采购人通知后应在 2 小时内派技术人员到现场解决问题。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在质量保证期内，发现货物的质量或规格与合同规定不符合，或证明货物有缺陷，采购人有权向中标供应商提出索赔，中标供应商免费向采购人供应并更换一切正常情况下自然磨损的电梯零部件和润滑油，修复除因采购人使用不当外的设备或零部件缺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3、验收依据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1）验收时间：中标供应商在电梯货物整体安装之前书面通知有关单位报验。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2）国家现行的相关标准规定内容，并请当地特种设备检测中心电梯质检部门验收和检测检验。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3）技术协议规定的内容；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4）电梯制造和安装安全规范 GB7588-2003</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电梯安装验收规范 GB10060-2011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国家质监总局的电梯监督检验规则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电梯技术条件 GB10058-2009</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电梯试验方法 GB10059-2009</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电梯工程施工质量验收规范 GB50310-2002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电梯维修规范 GB/T18775-2002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电梯安装工程质量检验评估标准（试行版）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高层民用建筑设计防火规范（GB50045-95-2005 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相关国家防火规则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电力供应部门的供电规章条例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以上规章、标准不论有无年代号，除有特别说明的以外，均以最新有效版本为准。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4、技术服务和优惠条件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1）负责设备的现场安装、调试，对调试过程中因中标供应商原因导致的设备及部件故障，应免费更换；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2）负责政府特种设备检验检测等有关部门的检验验收，并承担相关费用；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3）负责对采购人操作及维修人员进行培训，并列出培训计划；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4）质量保证期后中标供应商应向采购人提供及时、优质的价格优惠的技术服务和备件供应；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5）能保证及时的备品备件、零配件供应；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6）需提出切实可行的售后服务承诺；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7）供应商可以提出自己独特的技术服务方式和优惠条件，将作为评标依据之一。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bookmarkStart w:id="56" w:name="一、货物清单"/>
      <w:bookmarkEnd w:id="56"/>
      <w:bookmarkStart w:id="57" w:name="_bookmark3"/>
      <w:bookmarkEnd w:id="57"/>
      <w:bookmarkStart w:id="58" w:name="第5章评审方法和标准"/>
      <w:bookmarkEnd w:id="58"/>
      <w:bookmarkStart w:id="59" w:name="_bookmark4"/>
      <w:bookmarkEnd w:id="59"/>
      <w:bookmarkStart w:id="60" w:name="第4章_货物需求一览表及技术规格"/>
      <w:bookmarkEnd w:id="60"/>
      <w:r>
        <w:rPr>
          <w:rFonts w:hint="eastAsia" w:ascii="宋体" w:hAnsi="宋体" w:eastAsia="宋体" w:cs="宋体"/>
          <w:i w:val="0"/>
          <w:iCs w:val="0"/>
          <w:color w:val="000000"/>
          <w:kern w:val="0"/>
          <w:sz w:val="24"/>
          <w:szCs w:val="24"/>
          <w:u w:val="none"/>
          <w:lang w:val="en-US" w:eastAsia="zh-CN" w:bidi="ar"/>
        </w:rPr>
        <w:br w:type="page"/>
      </w:r>
    </w:p>
    <w:p>
      <w:pPr>
        <w:pStyle w:val="5"/>
        <w:spacing w:line="406" w:lineRule="exact"/>
        <w:ind w:left="0"/>
        <w:jc w:val="center"/>
        <w:rPr>
          <w:b w:val="0"/>
          <w:bCs w:val="0"/>
          <w:lang w:eastAsia="zh-CN"/>
        </w:rPr>
      </w:pPr>
      <w:r>
        <w:rPr>
          <w:lang w:eastAsia="zh-CN"/>
        </w:rPr>
        <w:t>第5章评审方法和标准</w:t>
      </w:r>
    </w:p>
    <w:p>
      <w:pPr>
        <w:pStyle w:val="2"/>
        <w:keepNext w:val="0"/>
        <w:keepLines w:val="0"/>
        <w:pageBreakBefore w:val="0"/>
        <w:widowControl w:val="0"/>
        <w:kinsoku/>
        <w:wordWrap/>
        <w:overflowPunct/>
        <w:topLinePunct w:val="0"/>
        <w:autoSpaceDE/>
        <w:autoSpaceDN/>
        <w:bidi w:val="0"/>
        <w:adjustRightInd/>
        <w:snapToGrid/>
        <w:spacing w:before="264" w:line="357" w:lineRule="auto"/>
        <w:ind w:left="101" w:firstLine="496" w:firstLineChars="200"/>
        <w:textAlignment w:val="auto"/>
        <w:rPr>
          <w:lang w:eastAsia="zh-CN"/>
        </w:rPr>
      </w:pPr>
      <w:r>
        <w:rPr>
          <w:spacing w:val="4"/>
          <w:lang w:eastAsia="zh-CN"/>
        </w:rPr>
        <w:t>本项目将按照竞争性磋商文件第一章供应商须知中“五提交响应文件截止及磋</w:t>
      </w:r>
      <w:r>
        <w:rPr>
          <w:lang w:eastAsia="zh-CN"/>
        </w:rPr>
        <w:t>商”、“六确定成交”及本章的规定评审。</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34" w:line="358" w:lineRule="auto"/>
        <w:ind w:left="220" w:leftChars="100" w:right="440" w:rightChars="200" w:firstLine="480" w:firstLineChars="200"/>
        <w:jc w:val="both"/>
        <w:textAlignment w:val="auto"/>
        <w:rPr>
          <w:lang w:eastAsia="zh-CN"/>
        </w:rPr>
      </w:pPr>
      <w:bookmarkStart w:id="61" w:name="一、评审方法"/>
      <w:bookmarkEnd w:id="61"/>
      <w:r>
        <w:rPr>
          <w:lang w:eastAsia="zh-CN"/>
        </w:rPr>
        <w:t xml:space="preserve">评审方法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4" w:line="358" w:lineRule="auto"/>
        <w:ind w:right="440" w:rightChars="200" w:firstLine="480" w:firstLineChars="200"/>
        <w:jc w:val="both"/>
        <w:textAlignment w:val="auto"/>
        <w:rPr>
          <w:lang w:eastAsia="zh-CN"/>
        </w:rPr>
      </w:pPr>
      <w:r>
        <w:rPr>
          <w:lang w:eastAsia="zh-CN"/>
        </w:rPr>
        <w:t>本次评审采用综合评分法，将依据供应商响应文件对其产品质量、服务、技术</w:t>
      </w:r>
      <w:r>
        <w:rPr>
          <w:spacing w:val="2"/>
          <w:lang w:eastAsia="zh-CN"/>
        </w:rPr>
        <w:t>方案、价格等各项因素进行评价，综合评选出最佳报价方案。每一供应商的最终得分为所有评委评分的算术平均值。评审结果按评审得分由高到低顺序排列。得分相同的，按最后报价由低到高顺序排列。得分且最后报价相同的，按技术指标优劣由</w:t>
      </w:r>
      <w:r>
        <w:rPr>
          <w:lang w:eastAsia="zh-CN"/>
        </w:rPr>
        <w:t>高到低顺序排列。</w:t>
      </w:r>
    </w:p>
    <w:p>
      <w:pPr>
        <w:pStyle w:val="2"/>
        <w:keepNext w:val="0"/>
        <w:keepLines w:val="0"/>
        <w:pageBreakBefore w:val="0"/>
        <w:widowControl w:val="0"/>
        <w:kinsoku/>
        <w:wordWrap/>
        <w:overflowPunct/>
        <w:topLinePunct w:val="0"/>
        <w:autoSpaceDE/>
        <w:autoSpaceDN/>
        <w:bidi w:val="0"/>
        <w:adjustRightInd/>
        <w:snapToGrid/>
        <w:spacing w:before="264" w:line="357" w:lineRule="auto"/>
        <w:ind w:left="101" w:firstLine="496" w:firstLineChars="200"/>
        <w:textAlignment w:val="auto"/>
        <w:rPr>
          <w:lang w:eastAsia="zh-CN"/>
        </w:rPr>
      </w:pPr>
      <w:r>
        <w:rPr>
          <w:spacing w:val="4"/>
          <w:lang w:eastAsia="zh-CN"/>
        </w:rPr>
        <w:t>采购代理机构在评审结束后2个工作日内将评审报告送采购人。采购人应当自收到评审报告之日起5个工作日内，在评审报告确定的成交候选人名单中按顺序确</w:t>
      </w:r>
      <w:r>
        <w:rPr>
          <w:spacing w:val="2"/>
          <w:lang w:eastAsia="zh-CN"/>
        </w:rPr>
        <w:t>定成交供应商，并向采购代理机构出具确认函。如采购人</w:t>
      </w:r>
      <w:r>
        <w:rPr>
          <w:lang w:eastAsia="zh-CN"/>
        </w:rPr>
        <w:t>5</w:t>
      </w:r>
      <w:r>
        <w:rPr>
          <w:spacing w:val="2"/>
          <w:lang w:eastAsia="zh-CN"/>
        </w:rPr>
        <w:t>个工作日内未按评审报告推荐的成交候选人顺序确定成交供应商，又不能说明合法理由的，视同按评审报</w:t>
      </w:r>
      <w:r>
        <w:rPr>
          <w:lang w:eastAsia="zh-CN"/>
        </w:rPr>
        <w:t>告推荐的顺序确定排名第一的成交候选人为成交供应商。</w:t>
      </w:r>
    </w:p>
    <w:p>
      <w:pPr>
        <w:pStyle w:val="2"/>
        <w:keepNext w:val="0"/>
        <w:keepLines w:val="0"/>
        <w:pageBreakBefore w:val="0"/>
        <w:widowControl w:val="0"/>
        <w:kinsoku/>
        <w:wordWrap/>
        <w:overflowPunct/>
        <w:topLinePunct w:val="0"/>
        <w:autoSpaceDE/>
        <w:autoSpaceDN/>
        <w:bidi w:val="0"/>
        <w:adjustRightInd/>
        <w:snapToGrid/>
        <w:spacing w:before="36"/>
        <w:ind w:firstLine="480" w:firstLineChars="200"/>
        <w:textAlignment w:val="auto"/>
        <w:rPr>
          <w:lang w:eastAsia="zh-CN"/>
        </w:rPr>
      </w:pPr>
      <w:bookmarkStart w:id="62" w:name="二、评标标准"/>
      <w:bookmarkEnd w:id="62"/>
      <w:r>
        <w:rPr>
          <w:lang w:eastAsia="zh-CN"/>
        </w:rPr>
        <w:t>二、评标标准</w:t>
      </w:r>
    </w:p>
    <w:p>
      <w:pPr>
        <w:spacing w:before="8"/>
        <w:rPr>
          <w:rFonts w:ascii="宋体" w:hAnsi="宋体" w:eastAsia="宋体" w:cs="宋体"/>
          <w:sz w:val="10"/>
          <w:szCs w:val="10"/>
          <w:lang w:eastAsia="zh-CN"/>
        </w:rPr>
      </w:pPr>
    </w:p>
    <w:p>
      <w:pPr>
        <w:pStyle w:val="5"/>
        <w:ind w:left="2935" w:right="3008"/>
        <w:jc w:val="center"/>
        <w:rPr>
          <w:b w:val="0"/>
          <w:bCs w:val="0"/>
          <w:sz w:val="28"/>
          <w:szCs w:val="28"/>
          <w:lang w:eastAsia="zh-CN"/>
        </w:rPr>
      </w:pPr>
      <w:bookmarkStart w:id="63" w:name="（一）初步评审"/>
      <w:bookmarkEnd w:id="63"/>
      <w:r>
        <w:rPr>
          <w:sz w:val="28"/>
          <w:szCs w:val="28"/>
          <w:lang w:eastAsia="zh-CN"/>
        </w:rPr>
        <w:t>（一）初步评审</w:t>
      </w:r>
    </w:p>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资格审查：</w:t>
      </w:r>
    </w:p>
    <w:p>
      <w:pPr>
        <w:rPr>
          <w:rFonts w:ascii="宋体" w:hAnsi="宋体" w:eastAsia="宋体" w:cs="宋体"/>
          <w:b/>
          <w:bCs/>
          <w:sz w:val="16"/>
          <w:szCs w:val="16"/>
          <w:lang w:eastAsia="zh-CN"/>
        </w:rPr>
      </w:pPr>
    </w:p>
    <w:tbl>
      <w:tblPr>
        <w:tblStyle w:val="23"/>
        <w:tblW w:w="9418" w:type="dxa"/>
        <w:tblInd w:w="0" w:type="dxa"/>
        <w:tblLayout w:type="autofit"/>
        <w:tblCellMar>
          <w:top w:w="0" w:type="dxa"/>
          <w:left w:w="0" w:type="dxa"/>
          <w:bottom w:w="0" w:type="dxa"/>
          <w:right w:w="0" w:type="dxa"/>
        </w:tblCellMar>
      </w:tblPr>
      <w:tblGrid>
        <w:gridCol w:w="827"/>
        <w:gridCol w:w="566"/>
        <w:gridCol w:w="6638"/>
        <w:gridCol w:w="1387"/>
      </w:tblGrid>
      <w:tr>
        <w:tblPrEx>
          <w:tblCellMar>
            <w:top w:w="0" w:type="dxa"/>
            <w:left w:w="0" w:type="dxa"/>
            <w:bottom w:w="0" w:type="dxa"/>
            <w:right w:w="0" w:type="dxa"/>
          </w:tblCellMar>
        </w:tblPrEx>
        <w:trPr>
          <w:trHeight w:val="848" w:hRule="exact"/>
        </w:trPr>
        <w:tc>
          <w:tcPr>
            <w:tcW w:w="827"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98" w:right="-20"/>
              <w:jc w:val="center"/>
              <w:rPr>
                <w:rFonts w:ascii="宋体" w:hAnsi="宋体" w:cs="宋体"/>
                <w:szCs w:val="21"/>
              </w:rPr>
            </w:pPr>
            <w:r>
              <w:rPr>
                <w:rFonts w:hint="eastAsia" w:ascii="宋体" w:hAnsi="宋体" w:cs="宋体"/>
                <w:position w:val="-2"/>
                <w:szCs w:val="21"/>
              </w:rPr>
              <w:t>评审</w:t>
            </w:r>
          </w:p>
          <w:p>
            <w:pPr>
              <w:spacing w:line="274" w:lineRule="exact"/>
              <w:ind w:left="198" w:right="-20"/>
              <w:jc w:val="center"/>
              <w:rPr>
                <w:rFonts w:ascii="宋体" w:hAnsi="宋体" w:cs="宋体"/>
                <w:szCs w:val="21"/>
              </w:rPr>
            </w:pPr>
            <w:r>
              <w:rPr>
                <w:rFonts w:hint="eastAsia" w:ascii="宋体" w:hAnsi="宋体" w:cs="宋体"/>
                <w:position w:val="-3"/>
                <w:szCs w:val="21"/>
              </w:rPr>
              <w:t>方式</w:t>
            </w: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55" w:right="-20"/>
              <w:jc w:val="center"/>
              <w:rPr>
                <w:rFonts w:ascii="宋体" w:hAnsi="宋体" w:cs="宋体"/>
                <w:szCs w:val="21"/>
              </w:rPr>
            </w:pPr>
            <w:r>
              <w:rPr>
                <w:rFonts w:hint="eastAsia" w:ascii="宋体" w:hAnsi="宋体" w:cs="宋体"/>
                <w:position w:val="-2"/>
                <w:szCs w:val="21"/>
              </w:rPr>
              <w:t>序</w:t>
            </w:r>
            <w:r>
              <w:rPr>
                <w:rFonts w:hint="eastAsia" w:ascii="宋体" w:hAnsi="宋体" w:cs="宋体"/>
                <w:position w:val="-3"/>
                <w:szCs w:val="21"/>
              </w:rPr>
              <w:t>号</w:t>
            </w:r>
          </w:p>
        </w:tc>
        <w:tc>
          <w:tcPr>
            <w:tcW w:w="6638" w:type="dxa"/>
            <w:tcBorders>
              <w:top w:val="single" w:color="000000" w:sz="2" w:space="0"/>
              <w:left w:val="single" w:color="000000" w:sz="2" w:space="0"/>
              <w:bottom w:val="single" w:color="000000" w:sz="2" w:space="0"/>
              <w:right w:val="single" w:color="000000" w:sz="2" w:space="0"/>
            </w:tcBorders>
            <w:vAlign w:val="center"/>
          </w:tcPr>
          <w:p>
            <w:pPr>
              <w:spacing w:before="67"/>
              <w:ind w:left="2657" w:right="2635"/>
              <w:jc w:val="center"/>
              <w:rPr>
                <w:rFonts w:ascii="宋体" w:hAnsi="宋体" w:cs="宋体"/>
                <w:szCs w:val="21"/>
              </w:rPr>
            </w:pPr>
            <w:r>
              <w:rPr>
                <w:rFonts w:hint="eastAsia" w:ascii="宋体" w:hAnsi="宋体" w:cs="宋体"/>
                <w:szCs w:val="21"/>
              </w:rPr>
              <w:t>评审因素</w:t>
            </w:r>
          </w:p>
        </w:tc>
        <w:tc>
          <w:tcPr>
            <w:tcW w:w="1387"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12" w:right="92"/>
              <w:jc w:val="center"/>
              <w:rPr>
                <w:rFonts w:ascii="宋体" w:hAnsi="宋体" w:cs="宋体"/>
                <w:szCs w:val="21"/>
              </w:rPr>
            </w:pPr>
            <w:r>
              <w:rPr>
                <w:rFonts w:hint="eastAsia" w:ascii="宋体" w:hAnsi="宋体" w:cs="宋体"/>
                <w:position w:val="-2"/>
                <w:szCs w:val="21"/>
              </w:rPr>
              <w:t>评审标</w:t>
            </w:r>
          </w:p>
          <w:p>
            <w:pPr>
              <w:spacing w:line="274" w:lineRule="exact"/>
              <w:ind w:left="323" w:right="303"/>
              <w:jc w:val="center"/>
              <w:rPr>
                <w:rFonts w:ascii="宋体" w:hAnsi="宋体" w:cs="宋体"/>
                <w:szCs w:val="21"/>
              </w:rPr>
            </w:pPr>
            <w:r>
              <w:rPr>
                <w:rFonts w:hint="eastAsia" w:ascii="宋体" w:hAnsi="宋体" w:cs="宋体"/>
                <w:position w:val="-3"/>
                <w:szCs w:val="21"/>
              </w:rPr>
              <w:t>准</w:t>
            </w:r>
          </w:p>
        </w:tc>
      </w:tr>
      <w:tr>
        <w:tblPrEx>
          <w:tblCellMar>
            <w:top w:w="0" w:type="dxa"/>
            <w:left w:w="0" w:type="dxa"/>
            <w:bottom w:w="0" w:type="dxa"/>
            <w:right w:w="0" w:type="dxa"/>
          </w:tblCellMar>
        </w:tblPrEx>
        <w:trPr>
          <w:trHeight w:val="460" w:hRule="exact"/>
        </w:trPr>
        <w:tc>
          <w:tcPr>
            <w:tcW w:w="827" w:type="dxa"/>
            <w:vMerge w:val="restart"/>
            <w:tcBorders>
              <w:top w:val="single" w:color="000000" w:sz="2" w:space="0"/>
              <w:left w:val="single" w:color="000000" w:sz="2" w:space="0"/>
              <w:bottom w:val="nil"/>
              <w:right w:val="single" w:color="000000" w:sz="2" w:space="0"/>
            </w:tcBorders>
            <w:vAlign w:val="center"/>
          </w:tcPr>
          <w:p>
            <w:pPr>
              <w:spacing w:line="200" w:lineRule="exact"/>
              <w:jc w:val="both"/>
              <w:rPr>
                <w:rFonts w:ascii="宋体" w:hAnsi="宋体" w:cs="宋体"/>
                <w:sz w:val="20"/>
                <w:szCs w:val="20"/>
              </w:rPr>
            </w:pPr>
          </w:p>
          <w:p>
            <w:pPr>
              <w:spacing w:line="200" w:lineRule="exact"/>
              <w:jc w:val="both"/>
              <w:rPr>
                <w:rFonts w:ascii="宋体" w:hAnsi="宋体" w:cs="宋体"/>
                <w:sz w:val="20"/>
                <w:szCs w:val="20"/>
              </w:rPr>
            </w:pPr>
          </w:p>
          <w:p>
            <w:pPr>
              <w:spacing w:line="200" w:lineRule="exact"/>
              <w:jc w:val="both"/>
              <w:rPr>
                <w:rFonts w:ascii="宋体" w:hAnsi="宋体" w:cs="宋体"/>
                <w:sz w:val="20"/>
                <w:szCs w:val="20"/>
              </w:rPr>
            </w:pPr>
          </w:p>
          <w:p>
            <w:pPr>
              <w:spacing w:line="200" w:lineRule="exact"/>
              <w:jc w:val="both"/>
              <w:rPr>
                <w:rFonts w:ascii="宋体" w:hAnsi="宋体" w:cs="宋体"/>
                <w:sz w:val="20"/>
                <w:szCs w:val="20"/>
              </w:rPr>
            </w:pPr>
          </w:p>
          <w:p>
            <w:pPr>
              <w:spacing w:line="200" w:lineRule="exact"/>
              <w:jc w:val="both"/>
              <w:rPr>
                <w:rFonts w:ascii="宋体" w:hAnsi="宋体" w:cs="宋体"/>
                <w:sz w:val="20"/>
                <w:szCs w:val="20"/>
              </w:rPr>
            </w:pPr>
          </w:p>
          <w:p>
            <w:pPr>
              <w:spacing w:before="1" w:line="240" w:lineRule="exact"/>
              <w:jc w:val="both"/>
              <w:rPr>
                <w:rFonts w:ascii="宋体" w:hAnsi="宋体" w:cs="宋体"/>
                <w:sz w:val="24"/>
              </w:rPr>
            </w:pPr>
          </w:p>
          <w:p>
            <w:pPr>
              <w:spacing w:line="274" w:lineRule="exact"/>
              <w:ind w:left="198" w:right="132"/>
              <w:jc w:val="both"/>
              <w:rPr>
                <w:rFonts w:ascii="宋体" w:hAnsi="宋体" w:cs="宋体"/>
                <w:szCs w:val="21"/>
              </w:rPr>
            </w:pPr>
            <w:r>
              <w:rPr>
                <w:rFonts w:hint="eastAsia" w:ascii="宋体" w:hAnsi="宋体" w:cs="宋体"/>
                <w:szCs w:val="21"/>
              </w:rPr>
              <w:t>资格 评审</w:t>
            </w: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both"/>
              <w:rPr>
                <w:rFonts w:ascii="宋体" w:hAnsi="宋体" w:cs="宋体"/>
                <w:szCs w:val="21"/>
              </w:rPr>
            </w:pPr>
            <w:r>
              <w:rPr>
                <w:rFonts w:hint="eastAsia" w:ascii="宋体" w:hAnsi="宋体" w:cs="宋体"/>
                <w:position w:val="-2"/>
                <w:szCs w:val="21"/>
              </w:rPr>
              <w:t>1</w:t>
            </w:r>
          </w:p>
        </w:tc>
        <w:tc>
          <w:tcPr>
            <w:tcW w:w="6638"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ascii="宋体" w:hAnsi="宋体" w:cs="宋体"/>
                <w:szCs w:val="21"/>
                <w:lang w:eastAsia="zh-CN"/>
              </w:rPr>
            </w:pPr>
            <w:r>
              <w:rPr>
                <w:rFonts w:hint="eastAsia" w:ascii="宋体" w:hAnsi="宋体" w:cs="宋体"/>
                <w:szCs w:val="21"/>
                <w:lang w:eastAsia="zh-CN"/>
              </w:rPr>
              <w:t>山东省政府采购信息公开平台备案截图</w:t>
            </w:r>
          </w:p>
        </w:tc>
        <w:tc>
          <w:tcPr>
            <w:tcW w:w="1387"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ascii="宋体" w:hAnsi="宋体" w:cs="宋体"/>
                <w:sz w:val="24"/>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533" w:hRule="exact"/>
        </w:trPr>
        <w:tc>
          <w:tcPr>
            <w:tcW w:w="827" w:type="dxa"/>
            <w:vMerge w:val="continue"/>
            <w:tcBorders>
              <w:left w:val="single" w:color="000000" w:sz="2" w:space="0"/>
              <w:right w:val="single" w:color="000000" w:sz="2" w:space="0"/>
            </w:tcBorders>
            <w:vAlign w:val="center"/>
          </w:tcPr>
          <w:p>
            <w:pPr>
              <w:spacing w:line="274" w:lineRule="exact"/>
              <w:ind w:left="198" w:right="132"/>
              <w:jc w:val="both"/>
              <w:rPr>
                <w:rFonts w:hint="eastAsia" w:ascii="宋体" w:hAnsi="宋体" w:cs="宋体"/>
                <w:szCs w:val="21"/>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leftChars="0" w:right="152" w:rightChars="0"/>
              <w:jc w:val="both"/>
              <w:rPr>
                <w:rFonts w:hint="eastAsia" w:ascii="宋体" w:hAnsi="宋体" w:cs="宋体" w:eastAsiaTheme="minorHAnsi"/>
                <w:sz w:val="22"/>
                <w:szCs w:val="21"/>
                <w:lang w:val="en-US" w:eastAsia="en-US" w:bidi="ar-SA"/>
              </w:rPr>
            </w:pPr>
            <w:r>
              <w:rPr>
                <w:rFonts w:hint="eastAsia" w:ascii="宋体" w:hAnsi="宋体" w:cs="宋体"/>
                <w:position w:val="-2"/>
                <w:szCs w:val="21"/>
              </w:rPr>
              <w:t>2</w:t>
            </w:r>
          </w:p>
        </w:tc>
        <w:tc>
          <w:tcPr>
            <w:tcW w:w="6638"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320" w:rightChars="0"/>
              <w:jc w:val="both"/>
              <w:rPr>
                <w:rFonts w:hint="eastAsia" w:ascii="宋体" w:hAnsi="宋体" w:eastAsia="宋体" w:cs="宋体"/>
                <w:sz w:val="22"/>
                <w:szCs w:val="21"/>
                <w:lang w:val="en-US" w:eastAsia="zh-CN" w:bidi="ar-SA"/>
              </w:rPr>
            </w:pPr>
            <w:r>
              <w:rPr>
                <w:rFonts w:hint="eastAsia" w:ascii="宋体" w:hAnsi="宋体" w:cs="宋体"/>
                <w:position w:val="-2"/>
                <w:szCs w:val="21"/>
              </w:rPr>
              <w:t>营业</w:t>
            </w:r>
            <w:r>
              <w:rPr>
                <w:rFonts w:hint="eastAsia" w:ascii="宋体" w:hAnsi="宋体" w:cs="宋体"/>
                <w:spacing w:val="-2"/>
                <w:position w:val="-2"/>
                <w:szCs w:val="21"/>
              </w:rPr>
              <w:t>执</w:t>
            </w:r>
            <w:r>
              <w:rPr>
                <w:rFonts w:hint="eastAsia" w:ascii="宋体" w:hAnsi="宋体" w:cs="宋体"/>
                <w:position w:val="-2"/>
                <w:szCs w:val="21"/>
              </w:rPr>
              <w:t>照</w:t>
            </w:r>
            <w:r>
              <w:rPr>
                <w:rFonts w:hint="eastAsia" w:ascii="宋体" w:hAnsi="宋体" w:cs="宋体"/>
                <w:spacing w:val="-2"/>
                <w:position w:val="-2"/>
                <w:szCs w:val="21"/>
              </w:rPr>
              <w:t>等</w:t>
            </w:r>
            <w:r>
              <w:rPr>
                <w:rFonts w:hint="eastAsia" w:ascii="宋体" w:hAnsi="宋体" w:eastAsia="宋体" w:cs="宋体"/>
                <w:spacing w:val="-2"/>
                <w:position w:val="-2"/>
                <w:szCs w:val="21"/>
                <w:lang w:val="en-US" w:eastAsia="zh-CN"/>
              </w:rPr>
              <w:t>证明</w:t>
            </w:r>
          </w:p>
        </w:tc>
        <w:tc>
          <w:tcPr>
            <w:tcW w:w="1387"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cs="宋体"/>
                <w:position w:val="-2"/>
                <w:szCs w:val="21"/>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525" w:hRule="exact"/>
        </w:trPr>
        <w:tc>
          <w:tcPr>
            <w:tcW w:w="827" w:type="dxa"/>
            <w:vMerge w:val="continue"/>
            <w:tcBorders>
              <w:top w:val="single" w:color="000000" w:sz="2" w:space="0"/>
              <w:left w:val="single" w:color="000000" w:sz="2" w:space="0"/>
              <w:bottom w:val="nil"/>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leftChars="0" w:right="152" w:rightChars="0"/>
              <w:jc w:val="both"/>
              <w:rPr>
                <w:rFonts w:ascii="宋体" w:hAnsi="宋体" w:cs="宋体" w:eastAsiaTheme="minorHAnsi"/>
                <w:sz w:val="22"/>
                <w:szCs w:val="21"/>
                <w:lang w:val="en-US" w:eastAsia="en-US" w:bidi="ar-SA"/>
              </w:rPr>
            </w:pPr>
            <w:r>
              <w:rPr>
                <w:rFonts w:hint="eastAsia" w:ascii="宋体" w:hAnsi="宋体" w:cs="宋体"/>
                <w:position w:val="-2"/>
                <w:szCs w:val="21"/>
              </w:rPr>
              <w:t>3</w:t>
            </w:r>
          </w:p>
        </w:tc>
        <w:tc>
          <w:tcPr>
            <w:tcW w:w="6638"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hint="eastAsia" w:ascii="宋体" w:hAnsi="宋体" w:cs="宋体" w:eastAsiaTheme="minorHAnsi"/>
                <w:sz w:val="22"/>
                <w:szCs w:val="21"/>
                <w:lang w:val="en-US" w:eastAsia="zh-CN" w:bidi="ar-SA"/>
              </w:rPr>
            </w:pPr>
            <w:r>
              <w:rPr>
                <w:rFonts w:hint="eastAsia" w:ascii="宋体" w:hAnsi="宋体" w:cs="宋体"/>
                <w:szCs w:val="21"/>
                <w:lang w:val="en-US" w:eastAsia="zh-CN"/>
              </w:rPr>
              <w:t>资格证书</w:t>
            </w:r>
          </w:p>
        </w:tc>
        <w:tc>
          <w:tcPr>
            <w:tcW w:w="1387"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ascii="宋体" w:hAnsi="宋体" w:cs="宋体"/>
                <w:sz w:val="24"/>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523" w:hRule="exact"/>
        </w:trPr>
        <w:tc>
          <w:tcPr>
            <w:tcW w:w="827" w:type="dxa"/>
            <w:vMerge w:val="continue"/>
            <w:tcBorders>
              <w:top w:val="single" w:color="000000" w:sz="2" w:space="0"/>
              <w:left w:val="single" w:color="000000" w:sz="2" w:space="0"/>
              <w:bottom w:val="nil"/>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leftChars="0" w:right="152" w:rightChars="0"/>
              <w:jc w:val="both"/>
              <w:rPr>
                <w:rFonts w:ascii="宋体" w:hAnsi="宋体" w:cs="宋体" w:eastAsiaTheme="minorHAnsi"/>
                <w:sz w:val="22"/>
                <w:szCs w:val="21"/>
                <w:lang w:val="en-US" w:eastAsia="en-US" w:bidi="ar-SA"/>
              </w:rPr>
            </w:pPr>
            <w:r>
              <w:rPr>
                <w:rFonts w:hint="eastAsia" w:ascii="宋体" w:hAnsi="宋体" w:cs="宋体"/>
                <w:position w:val="-2"/>
                <w:szCs w:val="21"/>
              </w:rPr>
              <w:t>4</w:t>
            </w:r>
          </w:p>
        </w:tc>
        <w:tc>
          <w:tcPr>
            <w:tcW w:w="6638"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hint="eastAsia" w:ascii="宋体" w:hAnsi="宋体" w:cs="宋体" w:eastAsiaTheme="minorHAnsi"/>
                <w:sz w:val="22"/>
                <w:szCs w:val="21"/>
                <w:lang w:val="en-US" w:eastAsia="zh-CN" w:bidi="ar-SA"/>
              </w:rPr>
            </w:pPr>
            <w:r>
              <w:rPr>
                <w:rFonts w:hint="eastAsia" w:ascii="宋体" w:hAnsi="宋体" w:cs="宋体"/>
                <w:szCs w:val="21"/>
                <w:lang w:eastAsia="zh-CN"/>
              </w:rPr>
              <w:t>法定代表人/负责人身份证明书或法定代表人/负责人授权委托书</w:t>
            </w:r>
          </w:p>
        </w:tc>
        <w:tc>
          <w:tcPr>
            <w:tcW w:w="1387"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ascii="宋体" w:hAnsi="宋体" w:cs="宋体"/>
                <w:sz w:val="24"/>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984" w:hRule="exact"/>
        </w:trPr>
        <w:tc>
          <w:tcPr>
            <w:tcW w:w="827" w:type="dxa"/>
            <w:vMerge w:val="continue"/>
            <w:tcBorders>
              <w:top w:val="single" w:color="000000" w:sz="2" w:space="0"/>
              <w:left w:val="single" w:color="000000" w:sz="2" w:space="0"/>
              <w:bottom w:val="nil"/>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leftChars="0" w:right="152" w:rightChars="0"/>
              <w:jc w:val="both"/>
              <w:rPr>
                <w:rFonts w:hint="eastAsia" w:ascii="宋体" w:hAnsi="宋体" w:cs="宋体" w:eastAsiaTheme="minorHAnsi"/>
                <w:sz w:val="22"/>
                <w:szCs w:val="21"/>
                <w:lang w:val="en-US" w:eastAsia="en-US" w:bidi="ar-SA"/>
              </w:rPr>
            </w:pPr>
            <w:r>
              <w:rPr>
                <w:rFonts w:hint="eastAsia" w:ascii="宋体" w:hAnsi="宋体" w:cs="宋体"/>
                <w:position w:val="-2"/>
                <w:szCs w:val="21"/>
              </w:rPr>
              <w:t>5</w:t>
            </w:r>
          </w:p>
        </w:tc>
        <w:tc>
          <w:tcPr>
            <w:tcW w:w="6638"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hint="eastAsia" w:ascii="宋体" w:hAnsi="宋体" w:cs="宋体" w:eastAsiaTheme="minorHAnsi"/>
                <w:sz w:val="22"/>
                <w:szCs w:val="21"/>
                <w:lang w:val="en-US" w:eastAsia="zh-CN" w:bidi="ar-SA"/>
              </w:rPr>
            </w:pPr>
            <w:r>
              <w:rPr>
                <w:rFonts w:hint="eastAsia" w:ascii="宋体" w:hAnsi="宋体" w:cs="宋体"/>
                <w:szCs w:val="21"/>
                <w:lang w:eastAsia="zh-CN"/>
              </w:rPr>
              <w:t>提供财务证明具有良好的商业信誉和健全的财务会计制度（会计师事务所出具的2019/2020年度财务审计报告或银行出具的说明投标人商业信誉或结算情况等事项的证明文件）</w:t>
            </w:r>
          </w:p>
        </w:tc>
        <w:tc>
          <w:tcPr>
            <w:tcW w:w="1387"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cs="宋体"/>
                <w:position w:val="-2"/>
                <w:szCs w:val="21"/>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700" w:hRule="exact"/>
        </w:trPr>
        <w:tc>
          <w:tcPr>
            <w:tcW w:w="827" w:type="dxa"/>
            <w:vMerge w:val="continue"/>
            <w:tcBorders>
              <w:top w:val="single" w:color="000000" w:sz="2" w:space="0"/>
              <w:left w:val="single" w:color="000000" w:sz="2" w:space="0"/>
              <w:bottom w:val="nil"/>
              <w:right w:val="single" w:color="000000" w:sz="2" w:space="0"/>
            </w:tcBorders>
            <w:vAlign w:val="center"/>
          </w:tcPr>
          <w:p>
            <w:pPr>
              <w:widowControl/>
              <w:jc w:val="both"/>
              <w:rPr>
                <w:rFonts w:ascii="宋体" w:hAnsi="宋体" w:cs="宋体"/>
                <w:szCs w:val="21"/>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leftChars="0" w:right="152" w:rightChars="0"/>
              <w:jc w:val="both"/>
              <w:rPr>
                <w:rFonts w:ascii="宋体" w:hAnsi="宋体" w:cs="宋体" w:eastAsiaTheme="minorHAnsi"/>
                <w:sz w:val="22"/>
                <w:szCs w:val="21"/>
                <w:lang w:val="en-US" w:eastAsia="en-US" w:bidi="ar-SA"/>
              </w:rPr>
            </w:pPr>
            <w:r>
              <w:rPr>
                <w:rFonts w:hint="eastAsia" w:ascii="宋体" w:hAnsi="宋体" w:cs="宋体"/>
                <w:position w:val="-2"/>
                <w:szCs w:val="21"/>
              </w:rPr>
              <w:t>6</w:t>
            </w:r>
          </w:p>
        </w:tc>
        <w:tc>
          <w:tcPr>
            <w:tcW w:w="6638"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hint="eastAsia" w:ascii="宋体" w:hAnsi="宋体" w:cs="宋体" w:eastAsiaTheme="minorHAnsi"/>
                <w:sz w:val="22"/>
                <w:szCs w:val="21"/>
                <w:lang w:val="en-US" w:eastAsia="zh-CN" w:bidi="ar-SA"/>
              </w:rPr>
            </w:pPr>
            <w:r>
              <w:rPr>
                <w:rFonts w:hint="eastAsia" w:ascii="宋体" w:hAnsi="宋体" w:cs="宋体"/>
                <w:szCs w:val="21"/>
                <w:lang w:eastAsia="zh-CN"/>
              </w:rPr>
              <w:t>近3个月的社保缴纳记录(新成立的公司提供自成立以来的缴纳记录)及依法缴纳税收的凭证；</w:t>
            </w:r>
          </w:p>
        </w:tc>
        <w:tc>
          <w:tcPr>
            <w:tcW w:w="1387"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ascii="宋体" w:hAnsi="宋体" w:cs="宋体"/>
                <w:sz w:val="24"/>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623" w:hRule="exact"/>
        </w:trPr>
        <w:tc>
          <w:tcPr>
            <w:tcW w:w="827" w:type="dxa"/>
            <w:vMerge w:val="continue"/>
            <w:tcBorders>
              <w:top w:val="single" w:color="000000" w:sz="2" w:space="0"/>
              <w:left w:val="single" w:color="000000" w:sz="2" w:space="0"/>
              <w:bottom w:val="nil"/>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leftChars="0" w:right="152" w:rightChars="0"/>
              <w:jc w:val="both"/>
              <w:rPr>
                <w:rFonts w:ascii="宋体" w:hAnsi="宋体" w:cs="宋体" w:eastAsiaTheme="minorHAnsi"/>
                <w:sz w:val="22"/>
                <w:szCs w:val="21"/>
                <w:lang w:val="en-US" w:eastAsia="en-US" w:bidi="ar-SA"/>
              </w:rPr>
            </w:pPr>
            <w:r>
              <w:rPr>
                <w:rFonts w:hint="eastAsia" w:ascii="宋体" w:hAnsi="宋体" w:cs="宋体"/>
                <w:position w:val="-2"/>
                <w:szCs w:val="21"/>
              </w:rPr>
              <w:t>7</w:t>
            </w:r>
          </w:p>
        </w:tc>
        <w:tc>
          <w:tcPr>
            <w:tcW w:w="6638"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ascii="宋体" w:hAnsi="宋体" w:cs="宋体" w:eastAsiaTheme="minorHAnsi"/>
                <w:sz w:val="22"/>
                <w:szCs w:val="21"/>
                <w:lang w:val="en-US" w:eastAsia="zh-CN" w:bidi="ar-SA"/>
              </w:rPr>
            </w:pPr>
            <w:r>
              <w:rPr>
                <w:rFonts w:hint="eastAsia" w:ascii="宋体" w:hAnsi="宋体" w:cs="宋体"/>
                <w:position w:val="-2"/>
                <w:szCs w:val="21"/>
                <w:lang w:eastAsia="zh-CN"/>
              </w:rPr>
              <w:t>无重</w:t>
            </w:r>
            <w:r>
              <w:rPr>
                <w:rFonts w:hint="eastAsia" w:ascii="宋体" w:hAnsi="宋体" w:cs="宋体"/>
                <w:spacing w:val="-2"/>
                <w:position w:val="-2"/>
                <w:szCs w:val="21"/>
                <w:lang w:eastAsia="zh-CN"/>
              </w:rPr>
              <w:t>大</w:t>
            </w:r>
            <w:r>
              <w:rPr>
                <w:rFonts w:hint="eastAsia" w:ascii="宋体" w:hAnsi="宋体" w:cs="宋体"/>
                <w:position w:val="-2"/>
                <w:szCs w:val="21"/>
                <w:lang w:eastAsia="zh-CN"/>
              </w:rPr>
              <w:t>违</w:t>
            </w:r>
            <w:r>
              <w:rPr>
                <w:rFonts w:hint="eastAsia" w:ascii="宋体" w:hAnsi="宋体" w:cs="宋体"/>
                <w:spacing w:val="-2"/>
                <w:position w:val="-2"/>
                <w:szCs w:val="21"/>
                <w:lang w:eastAsia="zh-CN"/>
              </w:rPr>
              <w:t>法</w:t>
            </w:r>
            <w:r>
              <w:rPr>
                <w:rFonts w:hint="eastAsia" w:ascii="宋体" w:hAnsi="宋体" w:cs="宋体"/>
                <w:position w:val="-2"/>
                <w:szCs w:val="21"/>
                <w:lang w:eastAsia="zh-CN"/>
              </w:rPr>
              <w:t>记</w:t>
            </w:r>
            <w:r>
              <w:rPr>
                <w:rFonts w:hint="eastAsia" w:ascii="宋体" w:hAnsi="宋体" w:cs="宋体"/>
                <w:spacing w:val="-2"/>
                <w:position w:val="-2"/>
                <w:szCs w:val="21"/>
                <w:lang w:eastAsia="zh-CN"/>
              </w:rPr>
              <w:t>录</w:t>
            </w:r>
            <w:r>
              <w:rPr>
                <w:rFonts w:hint="eastAsia" w:ascii="宋体" w:hAnsi="宋体" w:cs="宋体"/>
                <w:position w:val="-2"/>
                <w:szCs w:val="21"/>
                <w:lang w:eastAsia="zh-CN"/>
              </w:rPr>
              <w:t>的</w:t>
            </w:r>
            <w:r>
              <w:rPr>
                <w:rFonts w:hint="eastAsia" w:ascii="宋体" w:hAnsi="宋体" w:cs="宋体"/>
                <w:spacing w:val="-2"/>
                <w:position w:val="-2"/>
                <w:szCs w:val="21"/>
                <w:lang w:eastAsia="zh-CN"/>
              </w:rPr>
              <w:t>书</w:t>
            </w:r>
            <w:r>
              <w:rPr>
                <w:rFonts w:hint="eastAsia" w:ascii="宋体" w:hAnsi="宋体" w:cs="宋体"/>
                <w:position w:val="-2"/>
                <w:szCs w:val="21"/>
                <w:lang w:eastAsia="zh-CN"/>
              </w:rPr>
              <w:t>面</w:t>
            </w:r>
            <w:r>
              <w:rPr>
                <w:rFonts w:hint="eastAsia" w:ascii="宋体" w:hAnsi="宋体" w:cs="宋体"/>
                <w:spacing w:val="-2"/>
                <w:position w:val="-2"/>
                <w:szCs w:val="21"/>
                <w:lang w:eastAsia="zh-CN"/>
              </w:rPr>
              <w:t>声</w:t>
            </w:r>
            <w:r>
              <w:rPr>
                <w:rFonts w:hint="eastAsia" w:ascii="宋体" w:hAnsi="宋体" w:cs="宋体"/>
                <w:position w:val="-2"/>
                <w:szCs w:val="21"/>
                <w:lang w:eastAsia="zh-CN"/>
              </w:rPr>
              <w:t>明</w:t>
            </w:r>
          </w:p>
        </w:tc>
        <w:tc>
          <w:tcPr>
            <w:tcW w:w="1387"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ascii="宋体" w:hAnsi="宋体" w:cs="宋体"/>
                <w:sz w:val="24"/>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1565" w:hRule="exact"/>
        </w:trPr>
        <w:tc>
          <w:tcPr>
            <w:tcW w:w="827" w:type="dxa"/>
            <w:vMerge w:val="continue"/>
            <w:tcBorders>
              <w:top w:val="single" w:color="000000" w:sz="2" w:space="0"/>
              <w:left w:val="single" w:color="000000" w:sz="2" w:space="0"/>
              <w:bottom w:val="nil"/>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leftChars="0" w:right="152" w:rightChars="0"/>
              <w:jc w:val="both"/>
              <w:rPr>
                <w:rFonts w:ascii="宋体" w:hAnsi="宋体" w:cs="宋体" w:eastAsiaTheme="minorHAnsi"/>
                <w:sz w:val="22"/>
                <w:szCs w:val="21"/>
                <w:lang w:val="en-US" w:eastAsia="en-US" w:bidi="ar-SA"/>
              </w:rPr>
            </w:pPr>
            <w:r>
              <w:rPr>
                <w:rFonts w:hint="eastAsia" w:ascii="宋体" w:hAnsi="宋体" w:cs="宋体"/>
                <w:position w:val="-2"/>
                <w:szCs w:val="21"/>
              </w:rPr>
              <w:t>8</w:t>
            </w:r>
          </w:p>
        </w:tc>
        <w:tc>
          <w:tcPr>
            <w:tcW w:w="6638"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hint="eastAsia" w:ascii="宋体" w:hAnsi="宋体" w:cs="宋体" w:eastAsiaTheme="minorHAnsi"/>
                <w:sz w:val="22"/>
                <w:szCs w:val="21"/>
                <w:lang w:val="en-US" w:eastAsia="zh-CN" w:bidi="ar-SA"/>
              </w:rPr>
            </w:pPr>
            <w:r>
              <w:rPr>
                <w:rFonts w:hint="eastAsia" w:ascii="宋体" w:hAnsi="宋体" w:cs="宋体"/>
                <w:szCs w:val="21"/>
                <w:lang w:eastAsia="zh-CN"/>
              </w:rPr>
              <w:t>信用记录：在中国政府采购网（www.ccgp.gov.cn）未被列入政府采购严重违法失信行为记录名单，在“信用中国”网站（www.creditchina.gov.cn）未被列入失信被执行人、重大税收违法案件当事人名单，在“中国裁判文书网”无行贿记录证明；（</w:t>
            </w:r>
            <w:r>
              <w:rPr>
                <w:rFonts w:hint="eastAsia" w:ascii="宋体" w:hAnsi="宋体" w:cs="宋体"/>
                <w:szCs w:val="21"/>
                <w:lang w:val="en-US" w:eastAsia="zh-CN"/>
              </w:rPr>
              <w:t>提供</w:t>
            </w:r>
            <w:r>
              <w:rPr>
                <w:rFonts w:hint="eastAsia" w:ascii="宋体" w:hAnsi="宋体" w:cs="宋体"/>
                <w:szCs w:val="21"/>
                <w:lang w:eastAsia="zh-CN"/>
              </w:rPr>
              <w:t>截图加盖单位公章）</w:t>
            </w:r>
          </w:p>
        </w:tc>
        <w:tc>
          <w:tcPr>
            <w:tcW w:w="1387"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ascii="宋体" w:hAnsi="宋体" w:cs="宋体"/>
                <w:sz w:val="24"/>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490" w:hRule="exact"/>
        </w:trPr>
        <w:tc>
          <w:tcPr>
            <w:tcW w:w="827" w:type="dxa"/>
            <w:vMerge w:val="continue"/>
            <w:tcBorders>
              <w:top w:val="single" w:color="000000" w:sz="2" w:space="0"/>
              <w:left w:val="single" w:color="000000" w:sz="2" w:space="0"/>
              <w:bottom w:val="nil"/>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leftChars="0" w:right="152" w:rightChars="0"/>
              <w:jc w:val="both"/>
              <w:rPr>
                <w:rFonts w:hint="eastAsia" w:ascii="宋体" w:hAnsi="宋体" w:cs="宋体" w:eastAsiaTheme="minorHAnsi"/>
                <w:position w:val="-2"/>
                <w:sz w:val="22"/>
                <w:szCs w:val="21"/>
                <w:lang w:val="en-US" w:eastAsia="en-US" w:bidi="ar-SA"/>
              </w:rPr>
            </w:pPr>
            <w:r>
              <w:rPr>
                <w:rFonts w:hint="eastAsia" w:ascii="宋体" w:hAnsi="宋体" w:cs="宋体"/>
                <w:position w:val="-2"/>
                <w:szCs w:val="21"/>
              </w:rPr>
              <w:t>9</w:t>
            </w:r>
          </w:p>
        </w:tc>
        <w:tc>
          <w:tcPr>
            <w:tcW w:w="6638"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hint="eastAsia" w:ascii="宋体" w:hAnsi="宋体" w:cs="宋体" w:eastAsiaTheme="minorHAnsi"/>
                <w:sz w:val="22"/>
                <w:szCs w:val="21"/>
                <w:lang w:val="en-US" w:eastAsia="zh-CN" w:bidi="ar-SA"/>
              </w:rPr>
            </w:pPr>
            <w:r>
              <w:rPr>
                <w:rFonts w:hint="eastAsia" w:ascii="宋体" w:hAnsi="宋体" w:cs="宋体"/>
                <w:szCs w:val="21"/>
                <w:lang w:eastAsia="zh-CN"/>
              </w:rPr>
              <w:t>供应商须知资料表中要求的供应商其他资格要求</w:t>
            </w:r>
          </w:p>
        </w:tc>
        <w:tc>
          <w:tcPr>
            <w:tcW w:w="1387"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ascii="宋体" w:hAnsi="宋体" w:cs="宋体"/>
                <w:sz w:val="24"/>
                <w:lang w:eastAsia="zh-CN"/>
              </w:rPr>
            </w:pPr>
            <w:r>
              <w:rPr>
                <w:rFonts w:hint="eastAsia" w:ascii="宋体" w:hAnsi="宋体" w:cs="宋体"/>
                <w:position w:val="-2"/>
                <w:szCs w:val="21"/>
                <w:lang w:eastAsia="zh-CN"/>
              </w:rPr>
              <w:t>是否满足要求</w:t>
            </w:r>
          </w:p>
        </w:tc>
      </w:tr>
    </w:tbl>
    <w:p/>
    <w:p>
      <w:pPr>
        <w:pStyle w:val="29"/>
      </w:pPr>
      <w:r>
        <w:rPr>
          <w:rFonts w:hint="eastAsia"/>
          <w:b/>
          <w:bCs/>
          <w:sz w:val="24"/>
          <w:szCs w:val="22"/>
          <w:highlight w:val="none"/>
          <w:u w:val="single"/>
          <w:lang w:val="en-US" w:eastAsia="zh-CN"/>
        </w:rPr>
        <w:t>注：本项目实行资格后审/合格制，投标供应商应将上</w:t>
      </w:r>
      <w:r>
        <w:rPr>
          <w:rFonts w:hint="eastAsia"/>
          <w:b/>
          <w:bCs/>
          <w:sz w:val="24"/>
          <w:szCs w:val="22"/>
          <w:highlight w:val="none"/>
          <w:u w:val="single"/>
          <w:lang w:eastAsia="zh-CN"/>
        </w:rPr>
        <w:t>述资格审查资料</w:t>
      </w:r>
      <w:r>
        <w:rPr>
          <w:rFonts w:hint="eastAsia"/>
          <w:b/>
          <w:bCs/>
          <w:sz w:val="24"/>
          <w:szCs w:val="22"/>
          <w:highlight w:val="none"/>
          <w:u w:val="single"/>
          <w:lang w:val="en-US" w:eastAsia="zh-CN"/>
        </w:rPr>
        <w:t>扫描</w:t>
      </w:r>
      <w:r>
        <w:rPr>
          <w:rFonts w:hint="eastAsia"/>
          <w:b/>
          <w:bCs/>
          <w:sz w:val="24"/>
          <w:szCs w:val="22"/>
          <w:highlight w:val="none"/>
          <w:u w:val="single"/>
          <w:lang w:eastAsia="zh-CN"/>
        </w:rPr>
        <w:t>件加盖公章附在投标文件中，</w:t>
      </w:r>
      <w:r>
        <w:rPr>
          <w:rFonts w:hint="eastAsia"/>
          <w:b/>
          <w:bCs/>
          <w:sz w:val="24"/>
          <w:szCs w:val="22"/>
          <w:highlight w:val="none"/>
          <w:u w:val="single"/>
          <w:lang w:val="en-US" w:eastAsia="zh-CN"/>
        </w:rPr>
        <w:t>未加盖公章或</w:t>
      </w:r>
      <w:r>
        <w:rPr>
          <w:rFonts w:hint="eastAsia"/>
          <w:b/>
          <w:bCs/>
          <w:sz w:val="24"/>
          <w:szCs w:val="22"/>
          <w:highlight w:val="none"/>
          <w:u w:val="single"/>
          <w:lang w:eastAsia="zh-CN"/>
        </w:rPr>
        <w:t>缺少其中任何一项或经审验不合格，</w:t>
      </w:r>
      <w:r>
        <w:rPr>
          <w:rFonts w:hint="eastAsia"/>
          <w:b/>
          <w:bCs/>
          <w:sz w:val="24"/>
          <w:szCs w:val="22"/>
          <w:highlight w:val="none"/>
          <w:u w:val="single"/>
          <w:lang w:val="en-US" w:eastAsia="zh-CN"/>
        </w:rPr>
        <w:t>则无法进行下一阶段评审</w:t>
      </w:r>
      <w:r>
        <w:rPr>
          <w:rFonts w:hint="eastAsia"/>
          <w:b/>
          <w:bCs/>
          <w:sz w:val="24"/>
          <w:szCs w:val="22"/>
          <w:highlight w:val="none"/>
          <w:u w:val="single"/>
          <w:lang w:eastAsia="zh-CN"/>
        </w:rPr>
        <w:t>。</w:t>
      </w:r>
    </w:p>
    <w:p>
      <w:pPr>
        <w:pStyle w:val="29"/>
      </w:pPr>
    </w:p>
    <w:p>
      <w:pPr>
        <w:pStyle w:val="29"/>
      </w:pPr>
    </w:p>
    <w:p>
      <w:pPr>
        <w:pStyle w:val="29"/>
        <w:ind w:left="0" w:leftChars="0" w:firstLine="0" w:firstLineChars="0"/>
        <w:rPr>
          <w:rFonts w:hint="eastAsia" w:ascii="宋体" w:hAnsi="宋体" w:eastAsia="宋体" w:cs="宋体"/>
          <w:b/>
          <w:bCs/>
          <w:szCs w:val="21"/>
          <w:lang w:eastAsia="zh-CN"/>
        </w:rPr>
      </w:pPr>
      <w:r>
        <w:rPr>
          <w:rFonts w:hint="eastAsia" w:ascii="宋体" w:hAnsi="宋体" w:cs="宋体"/>
          <w:b/>
          <w:bCs/>
          <w:szCs w:val="21"/>
        </w:rPr>
        <w:t>符合性评审</w:t>
      </w:r>
      <w:r>
        <w:rPr>
          <w:rFonts w:hint="eastAsia" w:ascii="宋体" w:hAnsi="宋体" w:cs="宋体"/>
          <w:b/>
          <w:bCs/>
          <w:szCs w:val="21"/>
          <w:lang w:eastAsia="zh-CN"/>
        </w:rPr>
        <w:t>：</w:t>
      </w:r>
    </w:p>
    <w:p>
      <w:pPr>
        <w:pStyle w:val="29"/>
        <w:ind w:left="0" w:leftChars="0" w:firstLine="0" w:firstLineChars="0"/>
        <w:rPr>
          <w:rFonts w:hint="eastAsia" w:ascii="宋体" w:hAnsi="宋体" w:cs="宋体"/>
          <w:szCs w:val="21"/>
        </w:rPr>
      </w:pPr>
    </w:p>
    <w:tbl>
      <w:tblPr>
        <w:tblStyle w:val="23"/>
        <w:tblW w:w="9418" w:type="dxa"/>
        <w:tblInd w:w="0" w:type="dxa"/>
        <w:tblLayout w:type="autofit"/>
        <w:tblCellMar>
          <w:top w:w="0" w:type="dxa"/>
          <w:left w:w="0" w:type="dxa"/>
          <w:bottom w:w="0" w:type="dxa"/>
          <w:right w:w="0" w:type="dxa"/>
        </w:tblCellMar>
      </w:tblPr>
      <w:tblGrid>
        <w:gridCol w:w="827"/>
        <w:gridCol w:w="566"/>
        <w:gridCol w:w="6487"/>
        <w:gridCol w:w="1538"/>
      </w:tblGrid>
      <w:tr>
        <w:tblPrEx>
          <w:tblCellMar>
            <w:top w:w="0" w:type="dxa"/>
            <w:left w:w="0" w:type="dxa"/>
            <w:bottom w:w="0" w:type="dxa"/>
            <w:right w:w="0" w:type="dxa"/>
          </w:tblCellMar>
        </w:tblPrEx>
        <w:trPr>
          <w:trHeight w:val="428" w:hRule="exact"/>
        </w:trPr>
        <w:tc>
          <w:tcPr>
            <w:tcW w:w="827" w:type="dxa"/>
            <w:vMerge w:val="restart"/>
            <w:tcBorders>
              <w:top w:val="single" w:color="auto" w:sz="4" w:space="0"/>
              <w:left w:val="single" w:color="000000" w:sz="2" w:space="0"/>
              <w:bottom w:val="single" w:color="auto" w:sz="4" w:space="0"/>
              <w:right w:val="single" w:color="000000" w:sz="2" w:space="0"/>
            </w:tcBorders>
            <w:vAlign w:val="center"/>
          </w:tcPr>
          <w:p>
            <w:pPr>
              <w:spacing w:line="208" w:lineRule="auto"/>
              <w:ind w:left="175" w:right="155"/>
              <w:jc w:val="both"/>
              <w:rPr>
                <w:rFonts w:ascii="宋体" w:hAnsi="宋体" w:cs="宋体"/>
                <w:szCs w:val="21"/>
              </w:rPr>
            </w:pPr>
            <w:r>
              <w:rPr>
                <w:rFonts w:hint="eastAsia" w:ascii="宋体" w:hAnsi="宋体" w:cs="宋体"/>
                <w:szCs w:val="21"/>
              </w:rPr>
              <w:t>符合性评审</w:t>
            </w: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both"/>
              <w:rPr>
                <w:rFonts w:ascii="宋体" w:hAnsi="宋体" w:cs="宋体"/>
                <w:szCs w:val="21"/>
              </w:rPr>
            </w:pPr>
            <w:r>
              <w:rPr>
                <w:rFonts w:hint="eastAsia" w:ascii="宋体" w:hAnsi="宋体" w:cs="宋体"/>
                <w:position w:val="-2"/>
                <w:szCs w:val="21"/>
              </w:rPr>
              <w:t>1</w:t>
            </w:r>
          </w:p>
        </w:tc>
        <w:tc>
          <w:tcPr>
            <w:tcW w:w="6487"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ascii="宋体" w:hAnsi="宋体" w:cs="宋体"/>
                <w:szCs w:val="21"/>
                <w:lang w:eastAsia="zh-CN"/>
              </w:rPr>
            </w:pPr>
            <w:r>
              <w:rPr>
                <w:rFonts w:hint="eastAsia" w:ascii="宋体" w:hAnsi="宋体" w:cs="宋体"/>
                <w:position w:val="-2"/>
                <w:szCs w:val="21"/>
                <w:lang w:eastAsia="zh-CN"/>
              </w:rPr>
              <w:t>按</w:t>
            </w:r>
            <w:r>
              <w:rPr>
                <w:rFonts w:hint="eastAsia" w:ascii="宋体" w:hAnsi="宋体" w:cs="宋体"/>
                <w:spacing w:val="-2"/>
                <w:position w:val="-2"/>
                <w:szCs w:val="21"/>
                <w:lang w:eastAsia="zh-CN"/>
              </w:rPr>
              <w:t>照</w:t>
            </w:r>
            <w:r>
              <w:rPr>
                <w:rFonts w:hint="eastAsia" w:ascii="宋体" w:hAnsi="宋体" w:cs="宋体"/>
                <w:position w:val="-2"/>
                <w:szCs w:val="21"/>
                <w:lang w:eastAsia="zh-CN"/>
              </w:rPr>
              <w:t>竞争性磋商文件规</w:t>
            </w:r>
            <w:r>
              <w:rPr>
                <w:rFonts w:hint="eastAsia" w:ascii="宋体" w:hAnsi="宋体" w:cs="宋体"/>
                <w:spacing w:val="-2"/>
                <w:position w:val="-2"/>
                <w:szCs w:val="21"/>
                <w:lang w:eastAsia="zh-CN"/>
              </w:rPr>
              <w:t>定</w:t>
            </w:r>
            <w:r>
              <w:rPr>
                <w:rFonts w:hint="eastAsia" w:ascii="宋体" w:hAnsi="宋体" w:cs="宋体"/>
                <w:position w:val="-2"/>
                <w:szCs w:val="21"/>
                <w:lang w:eastAsia="zh-CN"/>
              </w:rPr>
              <w:t>要</w:t>
            </w:r>
            <w:r>
              <w:rPr>
                <w:rFonts w:hint="eastAsia" w:ascii="宋体" w:hAnsi="宋体" w:cs="宋体"/>
                <w:spacing w:val="-2"/>
                <w:position w:val="-2"/>
                <w:szCs w:val="21"/>
                <w:lang w:eastAsia="zh-CN"/>
              </w:rPr>
              <w:t>求</w:t>
            </w:r>
            <w:r>
              <w:rPr>
                <w:rFonts w:hint="eastAsia" w:ascii="宋体" w:hAnsi="宋体" w:cs="宋体"/>
                <w:position w:val="-2"/>
                <w:szCs w:val="21"/>
                <w:lang w:eastAsia="zh-CN"/>
              </w:rPr>
              <w:t>签署</w:t>
            </w:r>
            <w:r>
              <w:rPr>
                <w:rFonts w:hint="eastAsia" w:ascii="宋体" w:hAnsi="宋体" w:cs="宋体"/>
                <w:spacing w:val="-2"/>
                <w:position w:val="-2"/>
                <w:szCs w:val="21"/>
                <w:lang w:eastAsia="zh-CN"/>
              </w:rPr>
              <w:t>、</w:t>
            </w:r>
            <w:r>
              <w:rPr>
                <w:rFonts w:hint="eastAsia" w:ascii="宋体" w:hAnsi="宋体" w:cs="宋体"/>
                <w:position w:val="-2"/>
                <w:szCs w:val="21"/>
                <w:lang w:eastAsia="zh-CN"/>
              </w:rPr>
              <w:t>盖</w:t>
            </w:r>
            <w:r>
              <w:rPr>
                <w:rFonts w:hint="eastAsia" w:ascii="宋体" w:hAnsi="宋体" w:cs="宋体"/>
                <w:spacing w:val="-2"/>
                <w:position w:val="-2"/>
                <w:szCs w:val="21"/>
                <w:lang w:eastAsia="zh-CN"/>
              </w:rPr>
              <w:t>章</w:t>
            </w:r>
          </w:p>
        </w:tc>
        <w:tc>
          <w:tcPr>
            <w:tcW w:w="1538"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cs="宋体"/>
                <w:position w:val="-2"/>
                <w:szCs w:val="21"/>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501" w:hRule="exact"/>
        </w:trPr>
        <w:tc>
          <w:tcPr>
            <w:tcW w:w="827" w:type="dxa"/>
            <w:vMerge w:val="continue"/>
            <w:tcBorders>
              <w:top w:val="single" w:color="auto" w:sz="4" w:space="0"/>
              <w:left w:val="single" w:color="000000" w:sz="2" w:space="0"/>
              <w:bottom w:val="single" w:color="auto" w:sz="4" w:space="0"/>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before="67"/>
              <w:ind w:left="172" w:right="152"/>
              <w:jc w:val="both"/>
              <w:rPr>
                <w:rFonts w:ascii="宋体" w:hAnsi="宋体" w:cs="宋体"/>
                <w:szCs w:val="21"/>
              </w:rPr>
            </w:pPr>
            <w:r>
              <w:rPr>
                <w:rFonts w:hint="eastAsia" w:ascii="宋体" w:hAnsi="宋体" w:cs="宋体"/>
                <w:szCs w:val="21"/>
              </w:rPr>
              <w:t>2</w:t>
            </w:r>
          </w:p>
        </w:tc>
        <w:tc>
          <w:tcPr>
            <w:tcW w:w="6487" w:type="dxa"/>
            <w:tcBorders>
              <w:top w:val="single" w:color="000000" w:sz="2" w:space="0"/>
              <w:left w:val="single" w:color="000000" w:sz="2" w:space="0"/>
              <w:bottom w:val="single" w:color="000000" w:sz="2" w:space="0"/>
              <w:right w:val="single" w:color="000000" w:sz="2" w:space="0"/>
            </w:tcBorders>
            <w:vAlign w:val="center"/>
          </w:tcPr>
          <w:p>
            <w:pPr>
              <w:spacing w:before="67"/>
              <w:ind w:right="2531" w:rightChars="0"/>
              <w:jc w:val="both"/>
              <w:rPr>
                <w:rFonts w:ascii="宋体" w:hAnsi="宋体" w:cs="宋体"/>
                <w:szCs w:val="21"/>
              </w:rPr>
            </w:pPr>
            <w:r>
              <w:rPr>
                <w:rFonts w:hint="eastAsia" w:ascii="宋体" w:hAnsi="宋体" w:cs="宋体"/>
                <w:szCs w:val="21"/>
              </w:rPr>
              <w:t>报价一览表</w:t>
            </w:r>
            <w:r>
              <w:rPr>
                <w:rFonts w:hint="eastAsia" w:ascii="宋体" w:hAnsi="宋体" w:eastAsia="宋体" w:cs="宋体"/>
                <w:szCs w:val="21"/>
                <w:lang w:eastAsia="zh-CN"/>
              </w:rPr>
              <w:t>、</w:t>
            </w:r>
            <w:r>
              <w:rPr>
                <w:rFonts w:hint="eastAsia" w:ascii="宋体" w:hAnsi="宋体" w:eastAsia="宋体" w:cs="宋体"/>
                <w:spacing w:val="-2"/>
                <w:position w:val="-2"/>
                <w:szCs w:val="21"/>
                <w:lang w:val="en-US" w:eastAsia="zh-CN"/>
              </w:rPr>
              <w:t>明细</w:t>
            </w:r>
            <w:r>
              <w:rPr>
                <w:rFonts w:hint="eastAsia" w:ascii="宋体" w:hAnsi="宋体" w:cs="宋体"/>
                <w:spacing w:val="-2"/>
                <w:position w:val="-2"/>
                <w:szCs w:val="21"/>
              </w:rPr>
              <w:t>报</w:t>
            </w:r>
            <w:r>
              <w:rPr>
                <w:rFonts w:hint="eastAsia" w:ascii="宋体" w:hAnsi="宋体" w:cs="宋体"/>
                <w:position w:val="-2"/>
                <w:szCs w:val="21"/>
              </w:rPr>
              <w:t>价表</w:t>
            </w:r>
          </w:p>
        </w:tc>
        <w:tc>
          <w:tcPr>
            <w:tcW w:w="1538"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cs="宋体"/>
                <w:position w:val="-2"/>
                <w:szCs w:val="21"/>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425" w:hRule="exact"/>
        </w:trPr>
        <w:tc>
          <w:tcPr>
            <w:tcW w:w="827" w:type="dxa"/>
            <w:vMerge w:val="continue"/>
            <w:tcBorders>
              <w:top w:val="single" w:color="auto" w:sz="4" w:space="0"/>
              <w:left w:val="single" w:color="000000" w:sz="2" w:space="0"/>
              <w:bottom w:val="single" w:color="auto" w:sz="4" w:space="0"/>
              <w:right w:val="single" w:color="000000" w:sz="2" w:space="0"/>
            </w:tcBorders>
            <w:vAlign w:val="center"/>
          </w:tcPr>
          <w:p>
            <w:pPr>
              <w:widowControl/>
              <w:jc w:val="both"/>
              <w:rPr>
                <w:rFonts w:ascii="宋体" w:hAnsi="宋体" w:cs="宋体"/>
                <w:szCs w:val="21"/>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both"/>
              <w:rPr>
                <w:rFonts w:ascii="宋体" w:hAnsi="宋体" w:cs="宋体"/>
                <w:szCs w:val="21"/>
              </w:rPr>
            </w:pPr>
            <w:r>
              <w:rPr>
                <w:rFonts w:hint="eastAsia" w:ascii="宋体" w:hAnsi="宋体" w:cs="宋体"/>
                <w:position w:val="-2"/>
                <w:szCs w:val="21"/>
              </w:rPr>
              <w:t>3</w:t>
            </w:r>
          </w:p>
        </w:tc>
        <w:tc>
          <w:tcPr>
            <w:tcW w:w="6487" w:type="dxa"/>
            <w:tcBorders>
              <w:top w:val="single" w:color="000000" w:sz="2" w:space="0"/>
              <w:left w:val="single" w:color="000000" w:sz="2" w:space="0"/>
              <w:bottom w:val="single" w:color="000000" w:sz="2" w:space="0"/>
              <w:right w:val="single" w:color="000000" w:sz="2" w:space="0"/>
            </w:tcBorders>
            <w:vAlign w:val="center"/>
          </w:tcPr>
          <w:p>
            <w:pPr>
              <w:spacing w:line="242" w:lineRule="exact"/>
              <w:ind w:right="-20" w:rightChars="0"/>
              <w:jc w:val="both"/>
              <w:rPr>
                <w:rFonts w:ascii="宋体" w:hAnsi="宋体" w:cs="宋体"/>
                <w:szCs w:val="21"/>
              </w:rPr>
            </w:pPr>
            <w:r>
              <w:rPr>
                <w:rFonts w:hint="eastAsia" w:ascii="宋体" w:hAnsi="宋体" w:cs="宋体"/>
                <w:szCs w:val="21"/>
                <w:lang w:eastAsia="zh-CN"/>
              </w:rPr>
              <w:t>“项目需求”中实质性要求条款</w:t>
            </w:r>
            <w:r>
              <w:rPr>
                <w:rFonts w:hint="eastAsia" w:ascii="宋体" w:hAnsi="宋体" w:cs="宋体"/>
                <w:szCs w:val="21"/>
                <w:lang w:val="en-US" w:eastAsia="zh-CN"/>
              </w:rPr>
              <w:t>符合</w:t>
            </w:r>
            <w:r>
              <w:rPr>
                <w:rFonts w:hint="eastAsia" w:ascii="宋体" w:hAnsi="宋体" w:cs="宋体"/>
                <w:szCs w:val="21"/>
                <w:lang w:eastAsia="zh-CN"/>
              </w:rPr>
              <w:t>情况</w:t>
            </w:r>
          </w:p>
        </w:tc>
        <w:tc>
          <w:tcPr>
            <w:tcW w:w="1538"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cs="宋体"/>
                <w:position w:val="-2"/>
                <w:szCs w:val="21"/>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428" w:hRule="exact"/>
        </w:trPr>
        <w:tc>
          <w:tcPr>
            <w:tcW w:w="827" w:type="dxa"/>
            <w:vMerge w:val="continue"/>
            <w:tcBorders>
              <w:top w:val="single" w:color="auto" w:sz="4" w:space="0"/>
              <w:left w:val="single" w:color="000000" w:sz="2" w:space="0"/>
              <w:bottom w:val="single" w:color="auto" w:sz="4" w:space="0"/>
              <w:right w:val="single" w:color="000000" w:sz="2" w:space="0"/>
            </w:tcBorders>
            <w:vAlign w:val="center"/>
          </w:tcPr>
          <w:p>
            <w:pPr>
              <w:widowControl/>
              <w:jc w:val="both"/>
              <w:rPr>
                <w:rFonts w:ascii="宋体" w:hAnsi="宋体" w:cs="宋体"/>
                <w:szCs w:val="21"/>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2" w:lineRule="exact"/>
              <w:ind w:left="172" w:right="152"/>
              <w:jc w:val="both"/>
              <w:rPr>
                <w:rFonts w:ascii="宋体" w:hAnsi="宋体" w:cs="宋体"/>
                <w:szCs w:val="21"/>
              </w:rPr>
            </w:pPr>
            <w:r>
              <w:rPr>
                <w:rFonts w:hint="eastAsia" w:ascii="宋体" w:hAnsi="宋体" w:cs="宋体"/>
                <w:position w:val="-2"/>
                <w:szCs w:val="21"/>
              </w:rPr>
              <w:t>4</w:t>
            </w:r>
          </w:p>
        </w:tc>
        <w:tc>
          <w:tcPr>
            <w:tcW w:w="6487"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ascii="宋体" w:hAnsi="宋体" w:cs="宋体"/>
                <w:szCs w:val="21"/>
                <w:lang w:eastAsia="zh-CN"/>
              </w:rPr>
            </w:pPr>
            <w:r>
              <w:rPr>
                <w:rFonts w:hint="eastAsia" w:ascii="宋体" w:hAnsi="宋体" w:cs="宋体"/>
                <w:position w:val="-2"/>
                <w:szCs w:val="21"/>
                <w:lang w:eastAsia="zh-CN"/>
              </w:rPr>
              <w:t>报价</w:t>
            </w:r>
            <w:r>
              <w:rPr>
                <w:rFonts w:hint="eastAsia" w:ascii="宋体" w:hAnsi="宋体" w:cs="宋体"/>
                <w:position w:val="-2"/>
                <w:szCs w:val="21"/>
                <w:lang w:val="en-US" w:eastAsia="zh-CN"/>
              </w:rPr>
              <w:t>未</w:t>
            </w:r>
            <w:r>
              <w:rPr>
                <w:rFonts w:hint="eastAsia" w:ascii="宋体" w:hAnsi="宋体" w:cs="宋体"/>
                <w:spacing w:val="-2"/>
                <w:position w:val="-2"/>
                <w:szCs w:val="21"/>
                <w:lang w:eastAsia="zh-CN"/>
              </w:rPr>
              <w:t>超</w:t>
            </w:r>
            <w:r>
              <w:rPr>
                <w:rFonts w:hint="eastAsia" w:ascii="宋体" w:hAnsi="宋体" w:cs="宋体"/>
                <w:position w:val="-2"/>
                <w:szCs w:val="21"/>
                <w:lang w:eastAsia="zh-CN"/>
              </w:rPr>
              <w:t>过</w:t>
            </w:r>
            <w:r>
              <w:rPr>
                <w:rFonts w:hint="eastAsia" w:ascii="宋体" w:hAnsi="宋体" w:cs="宋体"/>
                <w:spacing w:val="-2"/>
                <w:position w:val="-2"/>
                <w:szCs w:val="21"/>
                <w:lang w:eastAsia="zh-CN"/>
              </w:rPr>
              <w:t>项</w:t>
            </w:r>
            <w:r>
              <w:rPr>
                <w:rFonts w:hint="eastAsia" w:ascii="宋体" w:hAnsi="宋体" w:cs="宋体"/>
                <w:position w:val="-2"/>
                <w:szCs w:val="21"/>
                <w:lang w:eastAsia="zh-CN"/>
              </w:rPr>
              <w:t>目最</w:t>
            </w:r>
            <w:r>
              <w:rPr>
                <w:rFonts w:hint="eastAsia" w:ascii="宋体" w:hAnsi="宋体" w:cs="宋体"/>
                <w:spacing w:val="-2"/>
                <w:position w:val="-2"/>
                <w:szCs w:val="21"/>
                <w:lang w:eastAsia="zh-CN"/>
              </w:rPr>
              <w:t>高</w:t>
            </w:r>
            <w:r>
              <w:rPr>
                <w:rFonts w:hint="eastAsia" w:ascii="宋体" w:hAnsi="宋体" w:cs="宋体"/>
                <w:position w:val="-2"/>
                <w:szCs w:val="21"/>
                <w:lang w:eastAsia="zh-CN"/>
              </w:rPr>
              <w:t>限价</w:t>
            </w:r>
          </w:p>
        </w:tc>
        <w:tc>
          <w:tcPr>
            <w:tcW w:w="1538"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cs="宋体"/>
                <w:position w:val="-2"/>
                <w:szCs w:val="21"/>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428" w:hRule="exact"/>
        </w:trPr>
        <w:tc>
          <w:tcPr>
            <w:tcW w:w="827" w:type="dxa"/>
            <w:vMerge w:val="continue"/>
            <w:tcBorders>
              <w:top w:val="single" w:color="auto" w:sz="4" w:space="0"/>
              <w:left w:val="single" w:color="000000" w:sz="2" w:space="0"/>
              <w:bottom w:val="single" w:color="auto" w:sz="4" w:space="0"/>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both"/>
              <w:rPr>
                <w:rFonts w:ascii="宋体" w:hAnsi="宋体" w:cs="宋体"/>
                <w:szCs w:val="21"/>
              </w:rPr>
            </w:pPr>
            <w:r>
              <w:rPr>
                <w:rFonts w:hint="eastAsia" w:ascii="宋体" w:hAnsi="宋体" w:cs="宋体"/>
                <w:position w:val="-2"/>
                <w:szCs w:val="21"/>
              </w:rPr>
              <w:t>5</w:t>
            </w:r>
          </w:p>
        </w:tc>
        <w:tc>
          <w:tcPr>
            <w:tcW w:w="6487"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217" w:rightChars="0"/>
              <w:jc w:val="both"/>
              <w:rPr>
                <w:rFonts w:ascii="宋体" w:hAnsi="宋体" w:cs="宋体"/>
                <w:szCs w:val="21"/>
                <w:lang w:eastAsia="zh-CN"/>
              </w:rPr>
            </w:pPr>
            <w:r>
              <w:rPr>
                <w:rFonts w:hint="eastAsia" w:ascii="宋体" w:hAnsi="宋体" w:cs="宋体"/>
                <w:position w:val="-2"/>
                <w:szCs w:val="21"/>
                <w:lang w:eastAsia="zh-CN"/>
              </w:rPr>
              <w:t>响应文件</w:t>
            </w:r>
            <w:r>
              <w:rPr>
                <w:rFonts w:hint="eastAsia" w:ascii="宋体" w:hAnsi="宋体" w:cs="宋体"/>
                <w:spacing w:val="-2"/>
                <w:position w:val="-2"/>
                <w:szCs w:val="21"/>
                <w:lang w:eastAsia="zh-CN"/>
              </w:rPr>
              <w:t>有</w:t>
            </w:r>
            <w:r>
              <w:rPr>
                <w:rFonts w:hint="eastAsia" w:ascii="宋体" w:hAnsi="宋体" w:cs="宋体"/>
                <w:position w:val="-2"/>
                <w:szCs w:val="21"/>
                <w:lang w:eastAsia="zh-CN"/>
              </w:rPr>
              <w:t>效</w:t>
            </w:r>
            <w:r>
              <w:rPr>
                <w:rFonts w:hint="eastAsia" w:ascii="宋体" w:hAnsi="宋体" w:cs="宋体"/>
                <w:spacing w:val="-2"/>
                <w:position w:val="-2"/>
                <w:szCs w:val="21"/>
                <w:lang w:eastAsia="zh-CN"/>
              </w:rPr>
              <w:t>期</w:t>
            </w:r>
            <w:r>
              <w:rPr>
                <w:rFonts w:hint="eastAsia" w:ascii="宋体" w:hAnsi="宋体" w:cs="宋体"/>
                <w:position w:val="-2"/>
                <w:szCs w:val="21"/>
                <w:lang w:val="en-US" w:eastAsia="zh-CN"/>
              </w:rPr>
              <w:t>满足磋商文件要求</w:t>
            </w:r>
          </w:p>
        </w:tc>
        <w:tc>
          <w:tcPr>
            <w:tcW w:w="1538"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cs="宋体"/>
                <w:position w:val="-2"/>
                <w:szCs w:val="21"/>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425" w:hRule="exact"/>
        </w:trPr>
        <w:tc>
          <w:tcPr>
            <w:tcW w:w="827" w:type="dxa"/>
            <w:vMerge w:val="continue"/>
            <w:tcBorders>
              <w:top w:val="single" w:color="auto" w:sz="4" w:space="0"/>
              <w:left w:val="single" w:color="000000" w:sz="2" w:space="0"/>
              <w:bottom w:val="single" w:color="auto" w:sz="4" w:space="0"/>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both"/>
              <w:rPr>
                <w:rFonts w:ascii="宋体" w:hAnsi="宋体" w:cs="宋体"/>
                <w:szCs w:val="21"/>
              </w:rPr>
            </w:pPr>
            <w:r>
              <w:rPr>
                <w:rFonts w:hint="eastAsia" w:ascii="宋体" w:hAnsi="宋体" w:cs="宋体"/>
                <w:position w:val="-2"/>
                <w:szCs w:val="21"/>
              </w:rPr>
              <w:t>6</w:t>
            </w:r>
          </w:p>
        </w:tc>
        <w:tc>
          <w:tcPr>
            <w:tcW w:w="6487"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ascii="宋体" w:hAnsi="宋体" w:cs="宋体"/>
                <w:szCs w:val="21"/>
                <w:lang w:eastAsia="zh-CN"/>
              </w:rPr>
            </w:pPr>
            <w:r>
              <w:rPr>
                <w:rFonts w:hint="eastAsia" w:ascii="宋体" w:hAnsi="宋体" w:cs="宋体"/>
                <w:position w:val="-2"/>
                <w:szCs w:val="21"/>
                <w:lang w:val="en-US" w:eastAsia="zh-CN"/>
              </w:rPr>
              <w:t>不</w:t>
            </w:r>
            <w:r>
              <w:rPr>
                <w:rFonts w:hint="eastAsia" w:ascii="宋体" w:hAnsi="宋体" w:cs="宋体"/>
                <w:position w:val="-2"/>
                <w:szCs w:val="21"/>
                <w:lang w:eastAsia="zh-CN"/>
              </w:rPr>
              <w:t>属于</w:t>
            </w:r>
            <w:r>
              <w:rPr>
                <w:rFonts w:hint="eastAsia" w:ascii="宋体" w:hAnsi="宋体" w:cs="宋体"/>
                <w:spacing w:val="-2"/>
                <w:position w:val="-2"/>
                <w:szCs w:val="21"/>
                <w:lang w:eastAsia="zh-CN"/>
              </w:rPr>
              <w:t>串</w:t>
            </w:r>
            <w:r>
              <w:rPr>
                <w:rFonts w:hint="eastAsia" w:ascii="宋体" w:hAnsi="宋体" w:cs="宋体"/>
                <w:position w:val="-2"/>
                <w:szCs w:val="21"/>
                <w:lang w:eastAsia="zh-CN"/>
              </w:rPr>
              <w:t>通</w:t>
            </w:r>
            <w:r>
              <w:rPr>
                <w:rFonts w:hint="eastAsia" w:ascii="宋体" w:hAnsi="宋体" w:cs="宋体"/>
                <w:spacing w:val="-2"/>
                <w:position w:val="-2"/>
                <w:szCs w:val="21"/>
                <w:lang w:eastAsia="zh-CN"/>
              </w:rPr>
              <w:t>响应文件，</w:t>
            </w:r>
            <w:r>
              <w:rPr>
                <w:rFonts w:hint="eastAsia" w:ascii="宋体" w:hAnsi="宋体" w:cs="宋体"/>
                <w:position w:val="-2"/>
                <w:szCs w:val="21"/>
                <w:lang w:eastAsia="zh-CN"/>
              </w:rPr>
              <w:t>或</w:t>
            </w:r>
            <w:r>
              <w:rPr>
                <w:rFonts w:hint="eastAsia" w:ascii="宋体" w:hAnsi="宋体" w:cs="宋体"/>
                <w:spacing w:val="-2"/>
                <w:position w:val="-2"/>
                <w:szCs w:val="21"/>
                <w:lang w:eastAsia="zh-CN"/>
              </w:rPr>
              <w:t>者</w:t>
            </w:r>
            <w:r>
              <w:rPr>
                <w:rFonts w:hint="eastAsia" w:ascii="宋体" w:hAnsi="宋体" w:cs="宋体"/>
                <w:position w:val="-2"/>
                <w:szCs w:val="21"/>
                <w:lang w:eastAsia="zh-CN"/>
              </w:rPr>
              <w:t>依</w:t>
            </w:r>
            <w:r>
              <w:rPr>
                <w:rFonts w:hint="eastAsia" w:ascii="宋体" w:hAnsi="宋体" w:cs="宋体"/>
                <w:spacing w:val="-2"/>
                <w:position w:val="-2"/>
                <w:szCs w:val="21"/>
                <w:lang w:eastAsia="zh-CN"/>
              </w:rPr>
              <w:t>法</w:t>
            </w:r>
            <w:r>
              <w:rPr>
                <w:rFonts w:hint="eastAsia" w:ascii="宋体" w:hAnsi="宋体" w:cs="宋体"/>
                <w:position w:val="-2"/>
                <w:szCs w:val="21"/>
                <w:lang w:eastAsia="zh-CN"/>
              </w:rPr>
              <w:t>被视</w:t>
            </w:r>
            <w:r>
              <w:rPr>
                <w:rFonts w:hint="eastAsia" w:ascii="宋体" w:hAnsi="宋体" w:cs="宋体"/>
                <w:spacing w:val="-2"/>
                <w:position w:val="-2"/>
                <w:szCs w:val="21"/>
                <w:lang w:eastAsia="zh-CN"/>
              </w:rPr>
              <w:t>为</w:t>
            </w:r>
            <w:r>
              <w:rPr>
                <w:rFonts w:hint="eastAsia" w:ascii="宋体" w:hAnsi="宋体" w:cs="宋体"/>
                <w:position w:val="-2"/>
                <w:szCs w:val="21"/>
                <w:lang w:eastAsia="zh-CN"/>
              </w:rPr>
              <w:t>串</w:t>
            </w:r>
            <w:r>
              <w:rPr>
                <w:rFonts w:hint="eastAsia" w:ascii="宋体" w:hAnsi="宋体" w:cs="宋体"/>
                <w:spacing w:val="-2"/>
                <w:position w:val="-2"/>
                <w:szCs w:val="21"/>
                <w:lang w:eastAsia="zh-CN"/>
              </w:rPr>
              <w:t>通</w:t>
            </w:r>
            <w:r>
              <w:rPr>
                <w:rFonts w:hint="eastAsia" w:ascii="宋体" w:hAnsi="宋体" w:cs="宋体"/>
                <w:position w:val="-2"/>
                <w:szCs w:val="21"/>
                <w:lang w:eastAsia="zh-CN"/>
              </w:rPr>
              <w:t>响应文件</w:t>
            </w:r>
          </w:p>
        </w:tc>
        <w:tc>
          <w:tcPr>
            <w:tcW w:w="1538"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cs="宋体"/>
                <w:position w:val="-2"/>
                <w:szCs w:val="21"/>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428" w:hRule="exact"/>
        </w:trPr>
        <w:tc>
          <w:tcPr>
            <w:tcW w:w="827" w:type="dxa"/>
            <w:vMerge w:val="continue"/>
            <w:tcBorders>
              <w:top w:val="single" w:color="auto" w:sz="4" w:space="0"/>
              <w:left w:val="single" w:color="000000" w:sz="2" w:space="0"/>
              <w:bottom w:val="single" w:color="auto" w:sz="4" w:space="0"/>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both"/>
              <w:rPr>
                <w:rFonts w:ascii="宋体" w:hAnsi="宋体" w:cs="宋体"/>
                <w:szCs w:val="21"/>
              </w:rPr>
            </w:pPr>
            <w:r>
              <w:rPr>
                <w:rFonts w:hint="eastAsia" w:ascii="宋体" w:hAnsi="宋体" w:cs="宋体"/>
                <w:position w:val="-2"/>
                <w:szCs w:val="21"/>
              </w:rPr>
              <w:t>7</w:t>
            </w:r>
          </w:p>
        </w:tc>
        <w:tc>
          <w:tcPr>
            <w:tcW w:w="6487"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ascii="宋体" w:hAnsi="宋体" w:cs="宋体" w:eastAsiaTheme="minorHAnsi"/>
                <w:sz w:val="22"/>
                <w:szCs w:val="21"/>
                <w:lang w:val="en-US" w:eastAsia="zh-CN" w:bidi="ar-SA"/>
              </w:rPr>
            </w:pPr>
            <w:r>
              <w:rPr>
                <w:rFonts w:hint="eastAsia" w:ascii="宋体" w:hAnsi="宋体" w:cs="宋体"/>
                <w:position w:val="-2"/>
                <w:szCs w:val="21"/>
                <w:lang w:eastAsia="zh-CN"/>
              </w:rPr>
              <w:t>响应文件</w:t>
            </w:r>
            <w:r>
              <w:rPr>
                <w:rFonts w:hint="eastAsia" w:ascii="宋体" w:hAnsi="宋体" w:cs="宋体"/>
                <w:position w:val="-2"/>
                <w:szCs w:val="21"/>
                <w:lang w:val="en-US" w:eastAsia="zh-CN"/>
              </w:rPr>
              <w:t>中不</w:t>
            </w:r>
            <w:r>
              <w:rPr>
                <w:rFonts w:hint="eastAsia" w:ascii="宋体" w:hAnsi="宋体" w:cs="宋体"/>
                <w:spacing w:val="-2"/>
                <w:position w:val="-2"/>
                <w:szCs w:val="21"/>
                <w:lang w:eastAsia="zh-CN"/>
              </w:rPr>
              <w:t>含</w:t>
            </w:r>
            <w:r>
              <w:rPr>
                <w:rFonts w:hint="eastAsia" w:ascii="宋体" w:hAnsi="宋体" w:cs="宋体"/>
                <w:position w:val="-2"/>
                <w:szCs w:val="21"/>
                <w:lang w:eastAsia="zh-CN"/>
              </w:rPr>
              <w:t>有</w:t>
            </w:r>
            <w:r>
              <w:rPr>
                <w:rFonts w:hint="eastAsia" w:ascii="宋体" w:hAnsi="宋体" w:cs="宋体"/>
                <w:spacing w:val="-2"/>
                <w:position w:val="-2"/>
                <w:szCs w:val="21"/>
                <w:lang w:eastAsia="zh-CN"/>
              </w:rPr>
              <w:t>采</w:t>
            </w:r>
            <w:r>
              <w:rPr>
                <w:rFonts w:hint="eastAsia" w:ascii="宋体" w:hAnsi="宋体" w:cs="宋体"/>
                <w:position w:val="-2"/>
                <w:szCs w:val="21"/>
                <w:lang w:eastAsia="zh-CN"/>
              </w:rPr>
              <w:t>购</w:t>
            </w:r>
            <w:r>
              <w:rPr>
                <w:rFonts w:hint="eastAsia" w:ascii="宋体" w:hAnsi="宋体" w:cs="宋体"/>
                <w:spacing w:val="-2"/>
                <w:position w:val="-2"/>
                <w:szCs w:val="21"/>
                <w:lang w:eastAsia="zh-CN"/>
              </w:rPr>
              <w:t>人</w:t>
            </w:r>
            <w:r>
              <w:rPr>
                <w:rFonts w:hint="eastAsia" w:ascii="宋体" w:hAnsi="宋体" w:cs="宋体"/>
                <w:position w:val="-2"/>
                <w:szCs w:val="21"/>
                <w:lang w:eastAsia="zh-CN"/>
              </w:rPr>
              <w:t>不</w:t>
            </w:r>
            <w:r>
              <w:rPr>
                <w:rFonts w:hint="eastAsia" w:ascii="宋体" w:hAnsi="宋体" w:cs="宋体"/>
                <w:spacing w:val="-2"/>
                <w:position w:val="-2"/>
                <w:szCs w:val="21"/>
                <w:lang w:eastAsia="zh-CN"/>
              </w:rPr>
              <w:t>能</w:t>
            </w:r>
            <w:r>
              <w:rPr>
                <w:rFonts w:hint="eastAsia" w:ascii="宋体" w:hAnsi="宋体" w:cs="宋体"/>
                <w:position w:val="-2"/>
                <w:szCs w:val="21"/>
                <w:lang w:eastAsia="zh-CN"/>
              </w:rPr>
              <w:t>接受</w:t>
            </w:r>
            <w:r>
              <w:rPr>
                <w:rFonts w:hint="eastAsia" w:ascii="宋体" w:hAnsi="宋体" w:cs="宋体"/>
                <w:spacing w:val="-2"/>
                <w:position w:val="-2"/>
                <w:szCs w:val="21"/>
                <w:lang w:eastAsia="zh-CN"/>
              </w:rPr>
              <w:t>的</w:t>
            </w:r>
            <w:r>
              <w:rPr>
                <w:rFonts w:hint="eastAsia" w:ascii="宋体" w:hAnsi="宋体" w:cs="宋体"/>
                <w:position w:val="-2"/>
                <w:szCs w:val="21"/>
                <w:lang w:eastAsia="zh-CN"/>
              </w:rPr>
              <w:t>附</w:t>
            </w:r>
            <w:r>
              <w:rPr>
                <w:rFonts w:hint="eastAsia" w:ascii="宋体" w:hAnsi="宋体" w:cs="宋体"/>
                <w:spacing w:val="-2"/>
                <w:position w:val="-2"/>
                <w:szCs w:val="21"/>
                <w:lang w:eastAsia="zh-CN"/>
              </w:rPr>
              <w:t>加</w:t>
            </w:r>
            <w:r>
              <w:rPr>
                <w:rFonts w:hint="eastAsia" w:ascii="宋体" w:hAnsi="宋体" w:cs="宋体"/>
                <w:position w:val="-2"/>
                <w:szCs w:val="21"/>
                <w:lang w:eastAsia="zh-CN"/>
              </w:rPr>
              <w:t>条</w:t>
            </w:r>
            <w:r>
              <w:rPr>
                <w:rFonts w:hint="eastAsia" w:ascii="宋体" w:hAnsi="宋体" w:cs="宋体"/>
                <w:spacing w:val="-2"/>
                <w:position w:val="-2"/>
                <w:szCs w:val="21"/>
                <w:lang w:eastAsia="zh-CN"/>
              </w:rPr>
              <w:t>件</w:t>
            </w:r>
          </w:p>
        </w:tc>
        <w:tc>
          <w:tcPr>
            <w:tcW w:w="1538"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cs="宋体"/>
                <w:position w:val="-2"/>
                <w:szCs w:val="21"/>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425" w:hRule="exact"/>
        </w:trPr>
        <w:tc>
          <w:tcPr>
            <w:tcW w:w="827" w:type="dxa"/>
            <w:vMerge w:val="continue"/>
            <w:tcBorders>
              <w:top w:val="single" w:color="auto" w:sz="4" w:space="0"/>
              <w:left w:val="single" w:color="000000" w:sz="2" w:space="0"/>
              <w:bottom w:val="single" w:color="auto" w:sz="4" w:space="0"/>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both"/>
              <w:rPr>
                <w:rFonts w:ascii="宋体" w:hAnsi="宋体" w:cs="宋体"/>
                <w:szCs w:val="21"/>
              </w:rPr>
            </w:pPr>
            <w:r>
              <w:rPr>
                <w:rFonts w:hint="eastAsia" w:ascii="宋体" w:hAnsi="宋体" w:cs="宋体"/>
                <w:position w:val="-2"/>
                <w:szCs w:val="21"/>
              </w:rPr>
              <w:t>8</w:t>
            </w:r>
          </w:p>
        </w:tc>
        <w:tc>
          <w:tcPr>
            <w:tcW w:w="6487"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ascii="宋体" w:hAnsi="宋体" w:cs="宋体" w:eastAsiaTheme="minorHAnsi"/>
                <w:sz w:val="22"/>
                <w:szCs w:val="21"/>
                <w:lang w:val="en-US" w:eastAsia="zh-CN" w:bidi="ar-SA"/>
              </w:rPr>
            </w:pPr>
            <w:r>
              <w:rPr>
                <w:rFonts w:hint="eastAsia" w:ascii="宋体" w:hAnsi="宋体" w:cs="宋体"/>
                <w:position w:val="-2"/>
                <w:szCs w:val="21"/>
                <w:lang w:val="en-US" w:eastAsia="zh-CN"/>
              </w:rPr>
              <w:t>不</w:t>
            </w:r>
            <w:r>
              <w:rPr>
                <w:rFonts w:hint="eastAsia" w:ascii="宋体" w:hAnsi="宋体" w:cs="宋体"/>
                <w:position w:val="-2"/>
                <w:szCs w:val="21"/>
                <w:lang w:eastAsia="zh-CN"/>
              </w:rPr>
              <w:t>属于</w:t>
            </w:r>
            <w:r>
              <w:rPr>
                <w:rFonts w:hint="eastAsia" w:ascii="宋体" w:hAnsi="宋体" w:cs="宋体"/>
                <w:spacing w:val="-2"/>
                <w:position w:val="-2"/>
                <w:szCs w:val="21"/>
                <w:lang w:eastAsia="zh-CN"/>
              </w:rPr>
              <w:t>竞争性磋商文件规</w:t>
            </w:r>
            <w:r>
              <w:rPr>
                <w:rFonts w:hint="eastAsia" w:ascii="宋体" w:hAnsi="宋体" w:cs="宋体"/>
                <w:position w:val="-2"/>
                <w:szCs w:val="21"/>
                <w:lang w:eastAsia="zh-CN"/>
              </w:rPr>
              <w:t>定</w:t>
            </w:r>
            <w:r>
              <w:rPr>
                <w:rFonts w:hint="eastAsia" w:ascii="宋体" w:hAnsi="宋体" w:cs="宋体"/>
                <w:spacing w:val="-2"/>
                <w:position w:val="-2"/>
                <w:szCs w:val="21"/>
                <w:lang w:eastAsia="zh-CN"/>
              </w:rPr>
              <w:t>的</w:t>
            </w:r>
            <w:r>
              <w:rPr>
                <w:rFonts w:hint="eastAsia" w:ascii="宋体" w:hAnsi="宋体" w:cs="宋体"/>
                <w:position w:val="-2"/>
                <w:szCs w:val="21"/>
                <w:lang w:eastAsia="zh-CN"/>
              </w:rPr>
              <w:t>其</w:t>
            </w:r>
            <w:r>
              <w:rPr>
                <w:rFonts w:hint="eastAsia" w:ascii="宋体" w:hAnsi="宋体" w:cs="宋体"/>
                <w:spacing w:val="-2"/>
                <w:position w:val="-2"/>
                <w:szCs w:val="21"/>
                <w:lang w:eastAsia="zh-CN"/>
              </w:rPr>
              <w:t>他</w:t>
            </w:r>
            <w:r>
              <w:rPr>
                <w:rFonts w:hint="eastAsia" w:ascii="宋体" w:hAnsi="宋体" w:cs="宋体"/>
                <w:position w:val="-2"/>
                <w:szCs w:val="21"/>
                <w:lang w:eastAsia="zh-CN"/>
              </w:rPr>
              <w:t>无效响应</w:t>
            </w:r>
            <w:r>
              <w:rPr>
                <w:rFonts w:hint="eastAsia" w:ascii="宋体" w:hAnsi="宋体" w:cs="宋体"/>
                <w:spacing w:val="-2"/>
                <w:position w:val="-2"/>
                <w:szCs w:val="21"/>
                <w:lang w:eastAsia="zh-CN"/>
              </w:rPr>
              <w:t>情</w:t>
            </w:r>
            <w:r>
              <w:rPr>
                <w:rFonts w:hint="eastAsia" w:ascii="宋体" w:hAnsi="宋体" w:cs="宋体"/>
                <w:position w:val="-2"/>
                <w:szCs w:val="21"/>
                <w:lang w:eastAsia="zh-CN"/>
              </w:rPr>
              <w:t>形</w:t>
            </w:r>
          </w:p>
        </w:tc>
        <w:tc>
          <w:tcPr>
            <w:tcW w:w="1538"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cs="宋体"/>
                <w:position w:val="-2"/>
                <w:szCs w:val="21"/>
                <w:lang w:eastAsia="zh-CN"/>
              </w:rPr>
            </w:pPr>
            <w:r>
              <w:rPr>
                <w:rFonts w:hint="eastAsia" w:ascii="宋体" w:hAnsi="宋体" w:cs="宋体"/>
                <w:position w:val="-2"/>
                <w:szCs w:val="21"/>
                <w:lang w:eastAsia="zh-CN"/>
              </w:rPr>
              <w:t>是否满足要求</w:t>
            </w:r>
          </w:p>
        </w:tc>
      </w:tr>
      <w:tr>
        <w:tblPrEx>
          <w:tblCellMar>
            <w:top w:w="0" w:type="dxa"/>
            <w:left w:w="0" w:type="dxa"/>
            <w:bottom w:w="0" w:type="dxa"/>
            <w:right w:w="0" w:type="dxa"/>
          </w:tblCellMar>
        </w:tblPrEx>
        <w:trPr>
          <w:trHeight w:val="428" w:hRule="exact"/>
        </w:trPr>
        <w:tc>
          <w:tcPr>
            <w:tcW w:w="827" w:type="dxa"/>
            <w:vMerge w:val="continue"/>
            <w:tcBorders>
              <w:top w:val="single" w:color="auto" w:sz="4" w:space="0"/>
              <w:left w:val="single" w:color="000000" w:sz="2" w:space="0"/>
              <w:bottom w:val="single" w:color="auto" w:sz="4" w:space="0"/>
              <w:right w:val="single" w:color="000000" w:sz="2" w:space="0"/>
            </w:tcBorders>
            <w:vAlign w:val="center"/>
          </w:tcPr>
          <w:p>
            <w:pPr>
              <w:widowControl/>
              <w:jc w:val="both"/>
              <w:rPr>
                <w:rFonts w:ascii="宋体" w:hAnsi="宋体" w:cs="宋体"/>
                <w:szCs w:val="21"/>
                <w:lang w:eastAsia="zh-CN"/>
              </w:rPr>
            </w:pPr>
          </w:p>
        </w:tc>
        <w:tc>
          <w:tcPr>
            <w:tcW w:w="56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both"/>
              <w:rPr>
                <w:rFonts w:ascii="宋体" w:hAnsi="宋体" w:cs="宋体"/>
                <w:szCs w:val="21"/>
              </w:rPr>
            </w:pPr>
            <w:r>
              <w:rPr>
                <w:rFonts w:hint="eastAsia" w:ascii="宋体" w:hAnsi="宋体" w:cs="宋体"/>
                <w:position w:val="-2"/>
                <w:szCs w:val="21"/>
              </w:rPr>
              <w:t>9</w:t>
            </w:r>
          </w:p>
        </w:tc>
        <w:tc>
          <w:tcPr>
            <w:tcW w:w="6487"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ightChars="0"/>
              <w:jc w:val="both"/>
              <w:rPr>
                <w:rFonts w:ascii="宋体" w:hAnsi="宋体" w:cs="宋体" w:eastAsiaTheme="minorHAnsi"/>
                <w:sz w:val="22"/>
                <w:szCs w:val="21"/>
                <w:lang w:val="en-US" w:eastAsia="zh-CN" w:bidi="ar-SA"/>
              </w:rPr>
            </w:pPr>
            <w:r>
              <w:rPr>
                <w:rFonts w:hint="eastAsia" w:ascii="宋体" w:hAnsi="宋体" w:cs="宋体"/>
                <w:position w:val="-2"/>
                <w:szCs w:val="21"/>
                <w:lang w:eastAsia="zh-CN"/>
              </w:rPr>
              <w:t>符</w:t>
            </w:r>
            <w:r>
              <w:rPr>
                <w:rFonts w:hint="eastAsia" w:ascii="宋体" w:hAnsi="宋体" w:cs="宋体"/>
                <w:spacing w:val="-2"/>
                <w:position w:val="-2"/>
                <w:szCs w:val="21"/>
                <w:lang w:eastAsia="zh-CN"/>
              </w:rPr>
              <w:t>合</w:t>
            </w:r>
            <w:r>
              <w:rPr>
                <w:rFonts w:hint="eastAsia" w:ascii="宋体" w:hAnsi="宋体" w:cs="宋体"/>
                <w:position w:val="-2"/>
                <w:szCs w:val="21"/>
                <w:lang w:eastAsia="zh-CN"/>
              </w:rPr>
              <w:t>法</w:t>
            </w:r>
            <w:r>
              <w:rPr>
                <w:rFonts w:hint="eastAsia" w:ascii="宋体" w:hAnsi="宋体" w:cs="宋体"/>
                <w:spacing w:val="-2"/>
                <w:position w:val="-2"/>
                <w:szCs w:val="21"/>
                <w:lang w:eastAsia="zh-CN"/>
              </w:rPr>
              <w:t>规</w:t>
            </w:r>
            <w:r>
              <w:rPr>
                <w:rFonts w:hint="eastAsia" w:ascii="宋体" w:hAnsi="宋体" w:cs="宋体"/>
                <w:position w:val="-2"/>
                <w:szCs w:val="21"/>
                <w:lang w:eastAsia="zh-CN"/>
              </w:rPr>
              <w:t>和</w:t>
            </w:r>
            <w:r>
              <w:rPr>
                <w:rFonts w:hint="eastAsia" w:ascii="宋体" w:hAnsi="宋体" w:cs="宋体"/>
                <w:spacing w:val="-2"/>
                <w:position w:val="-2"/>
                <w:szCs w:val="21"/>
                <w:lang w:eastAsia="zh-CN"/>
              </w:rPr>
              <w:t>竞争性磋商文件中</w:t>
            </w:r>
            <w:r>
              <w:rPr>
                <w:rFonts w:hint="eastAsia" w:ascii="宋体" w:hAnsi="宋体" w:cs="宋体"/>
                <w:position w:val="-2"/>
                <w:szCs w:val="21"/>
                <w:lang w:eastAsia="zh-CN"/>
              </w:rPr>
              <w:t>规定</w:t>
            </w:r>
            <w:r>
              <w:rPr>
                <w:rFonts w:hint="eastAsia" w:ascii="宋体" w:hAnsi="宋体" w:cs="宋体"/>
                <w:spacing w:val="-2"/>
                <w:position w:val="-2"/>
                <w:szCs w:val="21"/>
                <w:lang w:eastAsia="zh-CN"/>
              </w:rPr>
              <w:t>的</w:t>
            </w:r>
            <w:r>
              <w:rPr>
                <w:rFonts w:hint="eastAsia" w:ascii="宋体" w:hAnsi="宋体" w:cs="宋体"/>
                <w:position w:val="-2"/>
                <w:szCs w:val="21"/>
                <w:lang w:eastAsia="zh-CN"/>
              </w:rPr>
              <w:t>其</w:t>
            </w:r>
            <w:r>
              <w:rPr>
                <w:rFonts w:hint="eastAsia" w:ascii="宋体" w:hAnsi="宋体" w:cs="宋体"/>
                <w:spacing w:val="-2"/>
                <w:position w:val="-2"/>
                <w:szCs w:val="21"/>
                <w:lang w:eastAsia="zh-CN"/>
              </w:rPr>
              <w:t>他</w:t>
            </w:r>
            <w:r>
              <w:rPr>
                <w:rFonts w:hint="eastAsia" w:ascii="宋体" w:hAnsi="宋体" w:cs="宋体"/>
                <w:position w:val="-2"/>
                <w:szCs w:val="21"/>
                <w:lang w:eastAsia="zh-CN"/>
              </w:rPr>
              <w:t>实</w:t>
            </w:r>
            <w:r>
              <w:rPr>
                <w:rFonts w:hint="eastAsia" w:ascii="宋体" w:hAnsi="宋体" w:cs="宋体"/>
                <w:spacing w:val="-2"/>
                <w:position w:val="-2"/>
                <w:szCs w:val="21"/>
                <w:lang w:eastAsia="zh-CN"/>
              </w:rPr>
              <w:t>质</w:t>
            </w:r>
            <w:r>
              <w:rPr>
                <w:rFonts w:hint="eastAsia" w:ascii="宋体" w:hAnsi="宋体" w:cs="宋体"/>
                <w:position w:val="-2"/>
                <w:szCs w:val="21"/>
                <w:lang w:eastAsia="zh-CN"/>
              </w:rPr>
              <w:t>性</w:t>
            </w:r>
            <w:r>
              <w:rPr>
                <w:rFonts w:hint="eastAsia" w:ascii="宋体" w:hAnsi="宋体" w:cs="宋体"/>
                <w:spacing w:val="-2"/>
                <w:position w:val="-2"/>
                <w:szCs w:val="21"/>
                <w:lang w:eastAsia="zh-CN"/>
              </w:rPr>
              <w:t>要</w:t>
            </w:r>
            <w:r>
              <w:rPr>
                <w:rFonts w:hint="eastAsia" w:ascii="宋体" w:hAnsi="宋体" w:cs="宋体"/>
                <w:position w:val="-2"/>
                <w:szCs w:val="21"/>
                <w:lang w:eastAsia="zh-CN"/>
              </w:rPr>
              <w:t>求的</w:t>
            </w:r>
          </w:p>
        </w:tc>
        <w:tc>
          <w:tcPr>
            <w:tcW w:w="1538"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cs="宋体"/>
                <w:position w:val="-2"/>
                <w:szCs w:val="21"/>
                <w:lang w:eastAsia="zh-CN"/>
              </w:rPr>
            </w:pPr>
            <w:r>
              <w:rPr>
                <w:rFonts w:hint="eastAsia" w:ascii="宋体" w:hAnsi="宋体" w:cs="宋体"/>
                <w:position w:val="-2"/>
                <w:szCs w:val="21"/>
                <w:lang w:eastAsia="zh-CN"/>
              </w:rPr>
              <w:t>是否满足要求</w:t>
            </w:r>
          </w:p>
        </w:tc>
      </w:tr>
    </w:tbl>
    <w:p>
      <w:pPr>
        <w:pStyle w:val="21"/>
        <w:ind w:firstLine="240"/>
        <w:rPr>
          <w:lang w:eastAsia="zh-CN"/>
        </w:rPr>
      </w:pPr>
    </w:p>
    <w:p>
      <w:r>
        <w:br w:type="page"/>
      </w:r>
    </w:p>
    <w:p>
      <w:pPr>
        <w:pStyle w:val="7"/>
        <w:spacing w:line="385" w:lineRule="exact"/>
        <w:jc w:val="center"/>
        <w:rPr>
          <w:b w:val="0"/>
          <w:bCs w:val="0"/>
        </w:rPr>
      </w:pPr>
      <w:r>
        <w:t>（二）评分细则</w:t>
      </w:r>
    </w:p>
    <w:tbl>
      <w:tblPr>
        <w:tblStyle w:val="23"/>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262"/>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524" w:type="dxa"/>
            <w:gridSpan w:val="3"/>
            <w:tcBorders>
              <w:top w:val="nil"/>
              <w:left w:val="nil"/>
              <w:right w:val="single" w:color="auto" w:sz="4" w:space="0"/>
            </w:tcBorders>
            <w:noWrap w:val="0"/>
            <w:vAlign w:val="top"/>
          </w:tcPr>
          <w:p>
            <w:pPr>
              <w:spacing w:line="44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noWrap w:val="0"/>
            <w:vAlign w:val="top"/>
          </w:tcPr>
          <w:p>
            <w:pPr>
              <w:spacing w:line="44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评审项及分值</w:t>
            </w:r>
          </w:p>
        </w:tc>
        <w:tc>
          <w:tcPr>
            <w:tcW w:w="1262" w:type="dxa"/>
            <w:noWrap w:val="0"/>
            <w:vAlign w:val="center"/>
          </w:tcPr>
          <w:p>
            <w:pPr>
              <w:spacing w:line="44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评审因素</w:t>
            </w:r>
          </w:p>
        </w:tc>
        <w:tc>
          <w:tcPr>
            <w:tcW w:w="7037" w:type="dxa"/>
            <w:noWrap w:val="0"/>
            <w:vAlign w:val="center"/>
          </w:tcPr>
          <w:p>
            <w:pPr>
              <w:spacing w:line="440" w:lineRule="exact"/>
              <w:ind w:firstLine="560"/>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报价得分（30分）</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报价分（30分）</w:t>
            </w:r>
          </w:p>
        </w:tc>
        <w:tc>
          <w:tcPr>
            <w:tcW w:w="7037"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54"/>
              <w:textAlignment w:val="auto"/>
              <w:rPr>
                <w:rFonts w:hint="eastAsia" w:ascii="宋体" w:hAnsi="宋体" w:eastAsia="宋体" w:cs="宋体"/>
                <w:color w:val="FF0000"/>
                <w:kern w:val="1"/>
                <w:sz w:val="24"/>
                <w:szCs w:val="24"/>
                <w:highlight w:val="none"/>
              </w:rPr>
            </w:pPr>
            <w:r>
              <w:rPr>
                <w:rFonts w:hint="eastAsia"/>
                <w:highlight w:val="none"/>
              </w:rPr>
              <w:t>采用低价优先法计算，即满足采购文件要求且</w:t>
            </w:r>
            <w:r>
              <w:rPr>
                <w:rFonts w:hint="eastAsia"/>
                <w:highlight w:val="none"/>
                <w:lang w:val="en-US" w:eastAsia="zh-CN"/>
              </w:rPr>
              <w:t>最终</w:t>
            </w:r>
            <w:r>
              <w:rPr>
                <w:rFonts w:hint="eastAsia"/>
                <w:highlight w:val="none"/>
              </w:rPr>
              <w:t>报价最低的供应商的价格为评标基准价，其价格分为满分，其他供应商的价格得分统一按下列公式计算：报价得分=（评标基准价/</w:t>
            </w:r>
            <w:r>
              <w:rPr>
                <w:rFonts w:hint="eastAsia"/>
                <w:highlight w:val="none"/>
                <w:lang w:val="en-US" w:eastAsia="zh-CN"/>
              </w:rPr>
              <w:t>最终</w:t>
            </w:r>
            <w:r>
              <w:rPr>
                <w:rFonts w:hint="eastAsia"/>
                <w:highlight w:val="none"/>
              </w:rPr>
              <w:t>投标报价）×</w:t>
            </w:r>
            <w:r>
              <w:rPr>
                <w:rFonts w:hint="eastAsia"/>
                <w:highlight w:val="none"/>
                <w:lang w:val="en-US" w:eastAsia="zh-CN"/>
              </w:rPr>
              <w:t>3</w:t>
            </w:r>
            <w:r>
              <w:rPr>
                <w:rFonts w:hint="eastAsia"/>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4" w:hRule="atLeast"/>
          <w:jc w:val="center"/>
        </w:trPr>
        <w:tc>
          <w:tcPr>
            <w:tcW w:w="12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ighlight w:val="none"/>
                <w:lang w:val="en-US" w:eastAsia="zh-CN"/>
              </w:rPr>
            </w:pPr>
            <w:r>
              <w:rPr>
                <w:rFonts w:hint="eastAsia"/>
                <w:highlight w:val="none"/>
                <w:lang w:val="en-US" w:eastAsia="zh-CN"/>
              </w:rPr>
              <w:t>技术部分（50分）</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产品质量及性能（20分）</w:t>
            </w:r>
          </w:p>
        </w:tc>
        <w:tc>
          <w:tcPr>
            <w:tcW w:w="7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根据所投产品的品牌、质量、技术性能、产品的稳定性、实用性等进行综合评分：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ighlight w:val="none"/>
                <w:lang w:val="en-US" w:eastAsia="zh-CN"/>
              </w:rPr>
            </w:pPr>
            <w:r>
              <w:rPr>
                <w:rFonts w:hint="eastAsia"/>
                <w:highlight w:val="none"/>
                <w:lang w:val="en-US" w:eastAsia="zh-CN"/>
              </w:rPr>
              <w:t>1</w:t>
            </w:r>
            <w:r>
              <w:rPr>
                <w:rFonts w:hint="eastAsia"/>
                <w:highlight w:val="none"/>
                <w:lang w:eastAsia="zh-CN"/>
              </w:rPr>
              <w:t>）</w:t>
            </w:r>
            <w:r>
              <w:rPr>
                <w:rFonts w:hint="eastAsia"/>
                <w:highlight w:val="none"/>
              </w:rPr>
              <w:t>产品整体配备优良，主要技术性能、指标</w:t>
            </w:r>
            <w:r>
              <w:rPr>
                <w:rFonts w:hint="eastAsia"/>
                <w:highlight w:val="none"/>
                <w:lang w:eastAsia="zh-CN"/>
              </w:rPr>
              <w:t>、</w:t>
            </w:r>
            <w:r>
              <w:rPr>
                <w:rFonts w:hint="eastAsia"/>
                <w:highlight w:val="none"/>
              </w:rPr>
              <w:t>功能</w:t>
            </w:r>
            <w:r>
              <w:rPr>
                <w:rFonts w:hint="eastAsia"/>
                <w:highlight w:val="none"/>
                <w:lang w:eastAsia="zh-CN"/>
              </w:rPr>
              <w:t>、参数完全</w:t>
            </w:r>
            <w:r>
              <w:rPr>
                <w:rFonts w:hint="eastAsia"/>
                <w:highlight w:val="none"/>
              </w:rPr>
              <w:t>优于</w:t>
            </w:r>
            <w:r>
              <w:rPr>
                <w:rFonts w:hint="eastAsia"/>
                <w:highlight w:val="none"/>
                <w:lang w:eastAsia="zh-CN"/>
              </w:rPr>
              <w:t>磋商</w:t>
            </w:r>
            <w:r>
              <w:rPr>
                <w:rFonts w:hint="eastAsia"/>
                <w:highlight w:val="none"/>
              </w:rPr>
              <w:t>文件要求，性能稳定，故障率低</w:t>
            </w:r>
            <w:r>
              <w:rPr>
                <w:rFonts w:hint="eastAsia"/>
                <w:highlight w:val="none"/>
                <w:lang w:eastAsia="zh-CN"/>
              </w:rPr>
              <w:t>，能完全满足采购人需求的得</w:t>
            </w:r>
            <w:r>
              <w:rPr>
                <w:rFonts w:hint="eastAsia"/>
                <w:highlight w:val="none"/>
                <w:lang w:val="en-US" w:eastAsia="zh-CN"/>
              </w:rPr>
              <w:t>20-16分；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ighlight w:val="none"/>
                <w:lang w:val="en-US" w:eastAsia="zh-CN"/>
              </w:rPr>
            </w:pPr>
            <w:r>
              <w:rPr>
                <w:rFonts w:hint="eastAsia"/>
                <w:highlight w:val="none"/>
                <w:lang w:val="en-US" w:eastAsia="zh-CN"/>
              </w:rPr>
              <w:t>2）产品整体配备较好，主要技术性能、指标、功能、参数符合磋商文件要求，性能稳定，故障率较低，得15～11分；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3）产品整体配备一般，主要技术性能、指标、功能、参数基本符合磋商文件要求，性能稳定性一般，得10～5分；</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FF0000"/>
                <w:kern w:val="1"/>
                <w:sz w:val="24"/>
                <w:szCs w:val="24"/>
                <w:highlight w:val="none"/>
              </w:rPr>
            </w:pPr>
            <w:r>
              <w:rPr>
                <w:rFonts w:hint="eastAsia" w:ascii="宋体" w:hAnsi="宋体" w:cs="宋体"/>
                <w:highlight w:val="none"/>
                <w:lang w:val="en-US" w:eastAsia="zh-CN"/>
              </w:rPr>
              <w:t>4）产品整体配置一般，主要技术性能基本满足采购要求，整体配置及设备稳定性相对较低的得4～1分。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jc w:val="center"/>
        </w:trPr>
        <w:tc>
          <w:tcPr>
            <w:tcW w:w="12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按期供货、安装调试的保证措施（10分）</w:t>
            </w:r>
          </w:p>
        </w:tc>
        <w:tc>
          <w:tcPr>
            <w:tcW w:w="7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综合考虑供应商的供货、卸货及设备安装调试方案、供货时间及进度安排等方面，由专家根据供应商响应供货安装情况进行打分：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1.供应商投标供货方案切实可行、安全施工保证措施完善、供货期安排合理，能完全满足磋商文件要求的得10-8分；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2.供应商投标供货方案基本可行，供货期基本合理、安装、调试方案基本合理，能基本满足要求的7-4分；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kern w:val="1"/>
                <w:sz w:val="24"/>
                <w:szCs w:val="24"/>
                <w:highlight w:val="none"/>
              </w:rPr>
            </w:pPr>
            <w:r>
              <w:rPr>
                <w:rFonts w:hint="eastAsia"/>
                <w:highlight w:val="none"/>
                <w:lang w:val="en-US" w:eastAsia="zh-CN"/>
              </w:rPr>
              <w:t>3.供应商投标方案一般可行，供货期一般，安全保证措施一般的得3~1分。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jc w:val="center"/>
        </w:trPr>
        <w:tc>
          <w:tcPr>
            <w:tcW w:w="12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施工方案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（15分）</w:t>
            </w:r>
          </w:p>
        </w:tc>
        <w:tc>
          <w:tcPr>
            <w:tcW w:w="7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1、总体施工（安装）方案和各分部分项工程的主要施工方案：施工方案科学合理、可行性强、针对性强5-4分；施工方案合理性一般、可行性和针对性较强2-3分；施工方案不合理、可行性、针对性较差1分；缺项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2、确保安装质量的技术组织措施和计划：安装质量保障措施严密，质量控制目标准确，质量控制制度完善，实施细则清晰4分；安装质量保障措施较为严密，质量控制目标较为准确，质量控制制度较为完善，实施细则较为清晰3-2分；安装质量保障措施不够严密，质量控制目标不够准确，质量控制制度不够完善，实施细则不够清晰1分；缺项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3、确保安全文明施工的保障措施和计划：保障措施和计划非常合理、可行性强、针对性强3分；保障措施和计划合理、可行性、针对性较强2分；保障措施和计划不够合理、可行性、针对性较差1分；缺项0分。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4、拟派本项目人员配备情况：人员分工明确、人力、物力保障措施、完善、严密3分；人员分工较明确、人力、物力等保障措施较好、合理2分；人员分工不明确、人力、物力等保障措施不全面、存在缺陷1分；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12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应急预案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(5分)</w:t>
            </w:r>
          </w:p>
        </w:tc>
        <w:tc>
          <w:tcPr>
            <w:tcW w:w="7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根据供应商对突发事件（包括设备突发性故障及其他突发事件）的应急预案及相应的措施和应急维修方案等是否合理、符合采购人需求进行综合评比，本项满分5分。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1、供应商对突发事件的应急预案及相应的措施和应急维修方案等合理、有效，可行性高，综合评比得5-4分；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2、供应商对突发事件的应急预案及相应的措施和应急维修方案等较合理、有效，可行性较高，综合评比得3-2分；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3、供应商对突发事件的应急预案及相应的措施和应急维修方案等基本合理、有效、可行性一般，综合评比得1分。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4" w:hRule="atLeast"/>
          <w:jc w:val="center"/>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ighlight w:val="none"/>
                <w:lang w:val="en-US" w:eastAsia="zh-CN"/>
              </w:rPr>
            </w:pPr>
            <w:r>
              <w:rPr>
                <w:rFonts w:hint="eastAsia"/>
                <w:highlight w:val="none"/>
                <w:lang w:val="en-US" w:eastAsia="zh-CN"/>
              </w:rPr>
              <w:t>服务部分（10分）</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售后服务的安排及保证措施（10分）</w:t>
            </w:r>
          </w:p>
        </w:tc>
        <w:tc>
          <w:tcPr>
            <w:tcW w:w="7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highlight w:val="none"/>
                <w:lang w:val="en-US" w:eastAsia="zh-CN"/>
              </w:rPr>
            </w:pPr>
            <w:r>
              <w:rPr>
                <w:rFonts w:hint="eastAsia"/>
                <w:b/>
                <w:bCs/>
                <w:highlight w:val="none"/>
                <w:lang w:val="en-US" w:eastAsia="zh-CN"/>
              </w:rPr>
              <w:t>1、根据供应商提供售后服务方案、维修保养方案、零配件供应、服务能力、售后服务承诺等情况进行打分（5分）：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（1）针对供应商所提供的质保期和售后维修服务承诺完善，质量保证措施完善、维修服务 措施完善，完全满足磋商文件需求的得5-4分；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（2）供应商所提供的质保 期和维修服务承诺可行，质量保证措施可行、维修服务措施具体，基本满足磋商文件需求的得 3-2 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（3）供应商所提供的质保期和维修服务承诺不清晰，质量保证措施不可行、维修服务措施不完善，基本满足磋商文件需求的得1分。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highlight w:val="none"/>
                <w:lang w:val="en-US" w:eastAsia="zh-CN"/>
              </w:rPr>
            </w:pPr>
            <w:r>
              <w:rPr>
                <w:rFonts w:hint="eastAsia"/>
                <w:b/>
                <w:bCs/>
                <w:highlight w:val="none"/>
                <w:lang w:val="en-US" w:eastAsia="zh-CN"/>
              </w:rPr>
              <w:t>2、根据供应商提供的服务能力，包含应急响应时间、响应程度、解决问题的能力、紧急故障处理预案等进行评分（3分）：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（1）根据提供应急响应时间及时，响应程度满足需求，解决问题的能力及时，处理紧急故障预案充分的得3分；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（2）根据提供应急响应时间一般，响应程度一般，解决问题的能力一般，处理紧急故障预案一般的得2分；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（3）根据提供应急响应时间差，响应程度差，解决问题的能力差，处理紧急故障预案差的得1分。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highlight w:val="none"/>
                <w:lang w:val="en-US" w:eastAsia="zh-CN"/>
              </w:rPr>
            </w:pPr>
            <w:r>
              <w:rPr>
                <w:rFonts w:hint="eastAsia"/>
                <w:b/>
                <w:bCs/>
                <w:highlight w:val="none"/>
                <w:lang w:val="en-US" w:eastAsia="zh-CN"/>
              </w:rPr>
              <w:t>3、根据备品、备件明细表情况进行评分（2分）：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（1）备品备件种类齐全、数量充足，，专用工具的提供种类齐全、数量多的得2分；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（2）备品备件种类一般齐全、数量一般充足，专用工具的提供种类不多的得1分；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kern w:val="1"/>
                <w:sz w:val="24"/>
                <w:szCs w:val="24"/>
                <w:highlight w:val="none"/>
              </w:rPr>
            </w:pPr>
            <w:r>
              <w:rPr>
                <w:rFonts w:hint="eastAsia"/>
                <w:highlight w:val="none"/>
                <w:lang w:val="en-US" w:eastAsia="zh-CN"/>
              </w:rPr>
              <w:t>（3）未对此项描述的不得分。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ighlight w:val="none"/>
                <w:lang w:val="en-US" w:eastAsia="zh-CN"/>
              </w:rPr>
            </w:pPr>
            <w:r>
              <w:rPr>
                <w:rFonts w:hint="eastAsia"/>
                <w:highlight w:val="none"/>
                <w:lang w:val="en-US" w:eastAsia="zh-CN"/>
              </w:rPr>
              <w:t>商务部分（10分）</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业绩（10分）</w:t>
            </w:r>
          </w:p>
        </w:tc>
        <w:tc>
          <w:tcPr>
            <w:tcW w:w="7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投标供应商近三年（2018年7月至今）（以合同签订日期为准）以来承接类似项目业绩，每提供一项得2分，此项最高得10分。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（注：需提供中标通知书以及合同原件扫描件上传于响应文件中，两者缺一不可，否则不得分。）</w:t>
            </w:r>
          </w:p>
        </w:tc>
      </w:tr>
    </w:tbl>
    <w:p>
      <w:pPr>
        <w:spacing w:before="9"/>
        <w:rPr>
          <w:rFonts w:ascii="Times New Roman" w:hAnsi="Times New Roman" w:eastAsia="Times New Roman" w:cs="Times New Roman"/>
          <w:sz w:val="6"/>
          <w:szCs w:val="6"/>
          <w:lang w:eastAsia="zh-CN"/>
        </w:rPr>
      </w:pPr>
    </w:p>
    <w:p>
      <w:pPr>
        <w:rPr>
          <w:rFonts w:ascii="宋体" w:hAnsi="宋体" w:eastAsia="宋体" w:cs="宋体"/>
          <w:b/>
          <w:bCs/>
          <w:sz w:val="20"/>
          <w:szCs w:val="20"/>
          <w:lang w:eastAsia="zh-CN"/>
        </w:rPr>
      </w:pPr>
      <w:bookmarkStart w:id="64" w:name="（二）评分细则"/>
      <w:bookmarkEnd w:id="64"/>
    </w:p>
    <w:p>
      <w:pPr>
        <w:spacing w:line="440" w:lineRule="exact"/>
        <w:jc w:val="both"/>
        <w:rPr>
          <w:rFonts w:hint="eastAsia" w:ascii="宋体" w:hAnsi="宋体" w:eastAsia="宋体" w:cs="Times New Roman"/>
          <w:color w:val="auto"/>
          <w:kern w:val="0"/>
          <w:sz w:val="24"/>
          <w:szCs w:val="24"/>
          <w:lang w:val="en-US" w:eastAsia="zh-CN" w:bidi="ar-SA"/>
        </w:rPr>
      </w:pPr>
      <w:r>
        <w:rPr>
          <w:rFonts w:hint="eastAsia" w:ascii="宋体" w:hAnsi="宋体" w:cs="宋体"/>
          <w:color w:val="auto"/>
          <w:sz w:val="24"/>
          <w:lang w:val="en-US" w:eastAsia="zh-CN"/>
        </w:rPr>
        <w:t>相关政策及措施：</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（1）投标人所报产品列入财政部、生态环境部的环境标志产品政府采购品目清单和节能产品政府采购品目清单的：</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在价格评审项中，对节能、环保产品分别给予加分（加分=价格评标总分值×5%×节能、环保产品价格在投标报价中所占比例）；</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在技术评审项中，对节能、环保产品分别给予加分（加分=技术评标总分值×5%×节能、环保产品价格在投标报价中所占比例）。</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本项计分以投标人提供的有效期之内的节能产品、环境标志产品认证证书，市场监管总局确定的《参与实施政府采购节能产品认证机构名录》、《参与实施政府采购环境标志产品认证机构名录》公告截图，节能产品政府采购品目清单、环境标志产品政府采购品目清单。以上三项缺一不可，否则不予认可。</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投标人所填写的内容必须真实、可靠，如有虚假或隐瞒，一经查实将导致投标被拒绝。</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（2）中小企业</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根据《政府采购促进中小企业发展管理办法》（财库〔2020〕46 号）规定，在货物采购项目中，货物由中小企业制造，即货物由中小企业生产且使用该中小企业商号或者注册商标，享受规定的中小企业扶持政策。在货物采购项目中，供应商提供的货物既有中小企业制造货物，也有大型企业制造货物的，不享受规定的中小企业扶持政策。</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本项目为未预留份额专门面向中小企业采购的采购项目，给予小型和微型企业产品的价格6%的扣除；计算方法是：</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最终价格＝投标报价×94%，按照最终价格计算其价格分得分。</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开标时，投标人须提供《中小企业声明函》原件，否则不给予价格扣除。</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大中型企业和法人、其他组织或者自然人与中型、小型、微型企业组成联合体投标，联合协议中约定，小型、微型企业的协议合同金额占到联合体协议合同金额 30%以上的，可给予联合体 2%的价格扣除。计算方法是：</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最终价格＝投标报价×98%，按照最终价格计算其价格分得分。</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（3）监狱企业</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给予监狱企业（包括相互之间组成的联合体）产品的价格 6%的扣除；计算方法是：</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最终价格＝投标报价×94%，按照最终价格计算其价格分得分。</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开标时，投标人须提供省级以上监狱管理局、戒毒管理局（含新疆生产建设兵团）出具的属于监狱企业的证明文件原件，否则不给予价格扣除。法人、其他组织或者自然人与监狱企业组成联合体投标，联合协议中约定，监狱企业的协议合同金额占到联合体协议合同金额 30%以上的，可给予联合体 2%的价格扣除。计算方法是：</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最终价格＝投标报价×98%，按照最终价格计算其价格分得分。</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开标时，投标人须同时提供省级以上监狱管理局、戒毒管理局（含新疆生产建设兵团）出具的属于监狱企业的证明文件原件和联合体协议原件，否则不给予价格扣除。</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（4）残疾人福利性单位</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给予残疾人福利性单位（包括相互之间组成的联合体）产品价格 6%的扣除；计算方法是：最终价格＝投标报价×94%，按照最终价格计算其价格分得分。</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开标时，供应商若为残疾人福利性单位的，按照附件《残疾人福利性单位声明函》格式填写，并提交原件（代理商投标的，还须提供代理商企业的《残疾人福利性单位声明函》原件，下同），否则不给予价格扣除。残疾人福利性单位提供非残疾人福利性单位的货物/服务的，视同为非残疾人福利性单位。非残疾人福利性单位或者自然人与残疾人福利性单位组成联合体投标，联合协议中约定，残疾人福利性单位的协议合同金额占到联合体协议合同金额30%以上的，可给予联合体 2%的价格扣除。</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计算方法是：最终价格＝投标报价×98%，按照最终价格计算其价格分得分。</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cs="Times New Roman"/>
          <w:color w:val="auto"/>
          <w:kern w:val="0"/>
          <w:lang w:val="en-US" w:eastAsia="zh-CN"/>
        </w:rPr>
      </w:pPr>
      <w:r>
        <w:rPr>
          <w:rFonts w:hint="eastAsia" w:cs="Times New Roman"/>
          <w:color w:val="auto"/>
          <w:kern w:val="0"/>
          <w:lang w:val="en-US" w:eastAsia="zh-CN"/>
        </w:rPr>
        <w:t>开标时，供应商须同时提供《残疾人福利性单位声明函》原件和联合体协议原件，否则不给予价格扣除。</w:t>
      </w:r>
    </w:p>
    <w:p>
      <w:pPr>
        <w:pStyle w:val="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Times New Roman"/>
          <w:color w:val="auto"/>
          <w:kern w:val="0"/>
          <w:lang w:val="en-US" w:eastAsia="zh-CN"/>
        </w:rPr>
      </w:pPr>
      <w:r>
        <w:rPr>
          <w:rFonts w:hint="eastAsia" w:cs="Times New Roman"/>
          <w:color w:val="auto"/>
          <w:kern w:val="0"/>
          <w:lang w:val="en-US" w:eastAsia="zh-CN"/>
        </w:rPr>
        <w:t>5、供应商有前述组合情形的，应累计给予价格扣除，残疾人福利性单位属于小型、微型企业的，不重复享受政策。</w:t>
      </w:r>
    </w:p>
    <w:p>
      <w:pPr>
        <w:pStyle w:val="3"/>
        <w:rPr>
          <w:rFonts w:hint="eastAsia"/>
          <w:lang w:val="en-US" w:eastAsia="zh-CN"/>
        </w:rPr>
      </w:pPr>
    </w:p>
    <w:p>
      <w:pPr>
        <w:pStyle w:val="22"/>
        <w:ind w:left="440" w:firstLine="232"/>
        <w:rPr>
          <w:lang w:eastAsia="zh-CN"/>
        </w:rPr>
        <w:sectPr>
          <w:headerReference r:id="rId11" w:type="default"/>
          <w:pgSz w:w="11910" w:h="16840"/>
          <w:pgMar w:top="1460" w:right="1225" w:bottom="1180" w:left="1225" w:header="992" w:footer="1000" w:gutter="0"/>
          <w:pgNumType w:fmt="decimal"/>
          <w:cols w:space="720" w:num="1"/>
        </w:sectPr>
      </w:pPr>
    </w:p>
    <w:p>
      <w:pPr>
        <w:spacing w:before="5"/>
        <w:rPr>
          <w:rFonts w:ascii="宋体" w:hAnsi="宋体" w:eastAsia="宋体" w:cs="宋体"/>
          <w:sz w:val="10"/>
          <w:szCs w:val="10"/>
          <w:lang w:eastAsia="zh-CN"/>
        </w:rPr>
      </w:pPr>
    </w:p>
    <w:p>
      <w:pPr>
        <w:pStyle w:val="4"/>
        <w:ind w:firstLine="1080" w:firstLineChars="300"/>
        <w:rPr>
          <w:rFonts w:cs="宋体"/>
          <w:lang w:eastAsia="zh-CN"/>
        </w:rPr>
      </w:pPr>
      <w:bookmarkStart w:id="65" w:name="_bookmark5"/>
      <w:bookmarkEnd w:id="65"/>
      <w:bookmarkStart w:id="66" w:name="_Toc216582812"/>
      <w:bookmarkStart w:id="67" w:name="_Toc46235126"/>
      <w:bookmarkStart w:id="68" w:name="_Toc32607"/>
      <w:bookmarkStart w:id="69" w:name="_Toc518923106"/>
      <w:r>
        <w:rPr>
          <w:rFonts w:hint="eastAsia" w:cs="宋体"/>
          <w:lang w:eastAsia="zh-CN"/>
        </w:rPr>
        <w:t>第6章 响应文件格式</w:t>
      </w:r>
      <w:bookmarkEnd w:id="66"/>
      <w:bookmarkEnd w:id="67"/>
      <w:bookmarkEnd w:id="68"/>
      <w:bookmarkEnd w:id="69"/>
    </w:p>
    <w:p>
      <w:pPr>
        <w:pStyle w:val="5"/>
        <w:ind w:left="826" w:hanging="822" w:hangingChars="257"/>
        <w:rPr>
          <w:rFonts w:cs="宋体"/>
          <w:lang w:eastAsia="zh-CN"/>
        </w:rPr>
      </w:pPr>
      <w:bookmarkStart w:id="70" w:name="_Toc46235127"/>
      <w:bookmarkStart w:id="71" w:name="_Toc22485"/>
      <w:r>
        <w:rPr>
          <w:rFonts w:hint="eastAsia" w:cs="宋体"/>
          <w:lang w:eastAsia="zh-CN"/>
        </w:rPr>
        <w:t>一、封面格式</w:t>
      </w:r>
      <w:bookmarkEnd w:id="70"/>
      <w:r>
        <w:rPr>
          <w:rFonts w:hint="eastAsia" w:cs="宋体"/>
          <w:lang w:eastAsia="zh-CN"/>
        </w:rPr>
        <w:t>（参考）</w:t>
      </w:r>
      <w:bookmarkEnd w:id="71"/>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jc w:val="center"/>
              <w:rPr>
                <w:rFonts w:ascii="宋体" w:hAnsi="宋体" w:cs="宋体"/>
                <w:lang w:eastAsia="zh-CN"/>
              </w:rPr>
            </w:pPr>
          </w:p>
          <w:p>
            <w:pPr>
              <w:jc w:val="center"/>
              <w:rPr>
                <w:rFonts w:ascii="宋体" w:hAnsi="宋体" w:cs="宋体"/>
                <w:b/>
                <w:sz w:val="30"/>
                <w:szCs w:val="30"/>
                <w:lang w:eastAsia="zh-CN"/>
              </w:rPr>
            </w:pPr>
            <w:r>
              <w:rPr>
                <w:rFonts w:hint="eastAsia" w:ascii="宋体" w:hAnsi="宋体" w:cs="宋体"/>
                <w:b/>
                <w:sz w:val="30"/>
                <w:szCs w:val="30"/>
                <w:lang w:eastAsia="zh-CN"/>
              </w:rPr>
              <w:t>响应文件</w:t>
            </w:r>
          </w:p>
          <w:p>
            <w:pPr>
              <w:jc w:val="center"/>
              <w:rPr>
                <w:rFonts w:ascii="宋体" w:hAnsi="宋体" w:cs="宋体"/>
                <w:b/>
                <w:sz w:val="30"/>
                <w:szCs w:val="30"/>
                <w:lang w:eastAsia="zh-CN"/>
              </w:rPr>
            </w:pPr>
          </w:p>
          <w:p>
            <w:pPr>
              <w:jc w:val="center"/>
              <w:rPr>
                <w:rFonts w:ascii="宋体" w:hAnsi="宋体" w:cs="宋体"/>
                <w:lang w:eastAsia="zh-CN"/>
              </w:rPr>
            </w:pPr>
            <w:r>
              <w:rPr>
                <w:rFonts w:hint="eastAsia" w:ascii="宋体" w:hAnsi="宋体" w:cs="宋体"/>
                <w:lang w:eastAsia="zh-CN"/>
              </w:rPr>
              <w:t>项目编号：</w:t>
            </w:r>
          </w:p>
          <w:p>
            <w:pPr>
              <w:jc w:val="center"/>
              <w:rPr>
                <w:rFonts w:ascii="宋体" w:hAnsi="宋体" w:cs="宋体"/>
                <w:lang w:eastAsia="zh-CN"/>
              </w:rPr>
            </w:pPr>
            <w:r>
              <w:rPr>
                <w:rFonts w:hint="eastAsia" w:ascii="宋体" w:hAnsi="宋体" w:cs="宋体"/>
                <w:lang w:eastAsia="zh-CN"/>
              </w:rPr>
              <w:t>项目名称：</w:t>
            </w:r>
          </w:p>
          <w:p>
            <w:pPr>
              <w:jc w:val="center"/>
              <w:rPr>
                <w:rFonts w:ascii="宋体" w:hAnsi="宋体" w:cs="宋体"/>
                <w:lang w:eastAsia="zh-CN"/>
              </w:rPr>
            </w:pPr>
            <w:r>
              <w:rPr>
                <w:rFonts w:hint="eastAsia" w:ascii="宋体" w:hAnsi="宋体" w:cs="宋体"/>
                <w:lang w:eastAsia="zh-CN"/>
              </w:rPr>
              <w:t>项目包号：</w:t>
            </w:r>
          </w:p>
          <w:p>
            <w:pPr>
              <w:jc w:val="center"/>
              <w:rPr>
                <w:rFonts w:ascii="宋体" w:hAnsi="宋体" w:cs="宋体"/>
                <w:lang w:eastAsia="zh-CN"/>
              </w:rPr>
            </w:pPr>
            <w:r>
              <w:rPr>
                <w:rFonts w:hint="eastAsia" w:ascii="宋体" w:hAnsi="宋体" w:cs="宋体"/>
                <w:lang w:eastAsia="zh-CN"/>
              </w:rPr>
              <w:t>供应商名称（电子公章）：</w:t>
            </w:r>
          </w:p>
          <w:p>
            <w:pPr>
              <w:jc w:val="center"/>
              <w:rPr>
                <w:rFonts w:ascii="宋体" w:hAnsi="宋体" w:cs="宋体"/>
              </w:rPr>
            </w:pPr>
            <w:r>
              <w:rPr>
                <w:rFonts w:hint="eastAsia" w:ascii="宋体" w:hAnsi="宋体" w:cs="宋体"/>
              </w:rPr>
              <w:t>日 期</w:t>
            </w:r>
          </w:p>
          <w:p>
            <w:pPr>
              <w:rPr>
                <w:rFonts w:ascii="宋体" w:hAnsi="宋体" w:cs="宋体"/>
              </w:rPr>
            </w:pPr>
          </w:p>
        </w:tc>
      </w:tr>
    </w:tbl>
    <w:p>
      <w:pPr>
        <w:pStyle w:val="5"/>
        <w:ind w:left="826" w:hanging="822" w:hangingChars="257"/>
        <w:rPr>
          <w:rFonts w:hint="eastAsia" w:cs="宋体"/>
          <w:lang w:eastAsia="zh-CN"/>
        </w:rPr>
      </w:pPr>
      <w:bookmarkStart w:id="72" w:name="_Toc518923108"/>
      <w:bookmarkStart w:id="73" w:name="_Toc46235128"/>
      <w:bookmarkStart w:id="74" w:name="_Toc18532"/>
    </w:p>
    <w:p>
      <w:pPr>
        <w:pStyle w:val="5"/>
        <w:ind w:left="826" w:hanging="822" w:hangingChars="257"/>
        <w:rPr>
          <w:rFonts w:hint="eastAsia" w:cs="宋体"/>
          <w:lang w:eastAsia="zh-CN"/>
        </w:rPr>
      </w:pPr>
    </w:p>
    <w:p>
      <w:pPr>
        <w:pStyle w:val="5"/>
        <w:ind w:left="826" w:hanging="822" w:hangingChars="257"/>
        <w:rPr>
          <w:rFonts w:hint="eastAsia" w:cs="宋体"/>
          <w:lang w:eastAsia="zh-CN"/>
        </w:rPr>
      </w:pPr>
    </w:p>
    <w:p>
      <w:pPr>
        <w:pStyle w:val="5"/>
        <w:ind w:left="826" w:hanging="822" w:hangingChars="257"/>
        <w:rPr>
          <w:rFonts w:hint="eastAsia" w:cs="宋体"/>
          <w:lang w:eastAsia="zh-CN"/>
        </w:rPr>
      </w:pPr>
    </w:p>
    <w:p>
      <w:pPr>
        <w:pStyle w:val="5"/>
        <w:ind w:left="826" w:hanging="822" w:hangingChars="257"/>
        <w:rPr>
          <w:rFonts w:cs="宋体"/>
          <w:lang w:eastAsia="zh-CN"/>
        </w:rPr>
      </w:pPr>
      <w:r>
        <w:rPr>
          <w:rFonts w:hint="eastAsia" w:cs="宋体"/>
          <w:lang w:eastAsia="zh-CN"/>
        </w:rPr>
        <w:t>二、报价一览表</w:t>
      </w:r>
      <w:bookmarkEnd w:id="72"/>
      <w:bookmarkEnd w:id="73"/>
      <w:r>
        <w:rPr>
          <w:rFonts w:hint="eastAsia" w:cs="宋体"/>
          <w:lang w:eastAsia="zh-CN"/>
        </w:rPr>
        <w:t>（样表）</w:t>
      </w:r>
      <w:bookmarkEnd w:id="74"/>
    </w:p>
    <w:p>
      <w:pPr>
        <w:tabs>
          <w:tab w:val="left" w:pos="5580"/>
        </w:tabs>
        <w:spacing w:line="320" w:lineRule="exact"/>
        <w:ind w:left="281" w:leftChars="128"/>
        <w:rPr>
          <w:rFonts w:ascii="宋体" w:hAnsi="宋体" w:cs="宋体"/>
          <w:sz w:val="24"/>
          <w:szCs w:val="20"/>
          <w:lang w:eastAsia="zh-CN"/>
        </w:rPr>
      </w:pPr>
    </w:p>
    <w:p>
      <w:pPr>
        <w:pStyle w:val="6"/>
        <w:rPr>
          <w:rFonts w:cs="宋体"/>
          <w:lang w:eastAsia="zh-CN"/>
        </w:rPr>
      </w:pPr>
      <w:bookmarkStart w:id="75" w:name="_Hlt520356241"/>
      <w:bookmarkEnd w:id="75"/>
      <w:bookmarkStart w:id="76" w:name="_Toc494296984"/>
      <w:bookmarkStart w:id="77" w:name="_Toc46235129"/>
      <w:bookmarkStart w:id="78" w:name="_Toc26709"/>
      <w:bookmarkStart w:id="79" w:name="_Toc480942349"/>
      <w:bookmarkStart w:id="80" w:name="_Toc520356217"/>
      <w:bookmarkStart w:id="81" w:name="_Ref467988698"/>
      <w:bookmarkStart w:id="82" w:name="_Toc216582813"/>
      <w:r>
        <w:rPr>
          <w:rFonts w:hint="eastAsia" w:cs="宋体"/>
          <w:lang w:eastAsia="zh-CN"/>
        </w:rPr>
        <w:t>1.报价一览表</w:t>
      </w:r>
      <w:bookmarkEnd w:id="76"/>
      <w:bookmarkEnd w:id="77"/>
      <w:r>
        <w:rPr>
          <w:rFonts w:hint="eastAsia" w:cs="宋体"/>
          <w:lang w:eastAsia="zh-CN"/>
        </w:rPr>
        <w:cr/>
      </w:r>
      <w:bookmarkEnd w:id="78"/>
    </w:p>
    <w:p>
      <w:pPr>
        <w:tabs>
          <w:tab w:val="left" w:pos="1800"/>
          <w:tab w:val="left" w:pos="5580"/>
        </w:tabs>
        <w:spacing w:line="320" w:lineRule="exact"/>
        <w:ind w:right="-908" w:rightChars="-413"/>
        <w:rPr>
          <w:rFonts w:ascii="宋体" w:hAnsi="宋体" w:cs="宋体"/>
          <w:sz w:val="24"/>
          <w:lang w:eastAsia="zh-CN"/>
        </w:rPr>
      </w:pPr>
      <w:r>
        <w:rPr>
          <w:rFonts w:hint="eastAsia" w:ascii="宋体" w:hAnsi="宋体" w:cs="宋体"/>
          <w:sz w:val="24"/>
          <w:lang w:eastAsia="zh-CN"/>
        </w:rPr>
        <w:t>项目编号、包号：                                报价单位：人民币元</w:t>
      </w:r>
    </w:p>
    <w:tbl>
      <w:tblPr>
        <w:tblStyle w:val="2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477" w:type="dxa"/>
            <w:vMerge w:val="restart"/>
            <w:tcBorders>
              <w:top w:val="single" w:color="auto" w:sz="12" w:space="0"/>
              <w:left w:val="single" w:color="auto" w:sz="12" w:space="0"/>
            </w:tcBorders>
            <w:vAlign w:val="center"/>
          </w:tcPr>
          <w:p>
            <w:pPr>
              <w:tabs>
                <w:tab w:val="left" w:pos="1337"/>
              </w:tabs>
              <w:spacing w:line="320" w:lineRule="exact"/>
              <w:ind w:firstLine="770" w:firstLineChars="350"/>
              <w:rPr>
                <w:rFonts w:ascii="宋体" w:hAnsi="宋体" w:cs="宋体"/>
                <w:b/>
                <w:bCs/>
                <w:szCs w:val="21"/>
              </w:rPr>
            </w:pPr>
            <w:r>
              <w:rPr>
                <w:rFonts w:hint="eastAsia" w:ascii="宋体" w:hAnsi="宋体" w:cs="宋体"/>
                <w:b/>
                <w:bCs/>
                <w:szCs w:val="21"/>
              </w:rPr>
              <w:t>总价</w:t>
            </w:r>
          </w:p>
        </w:tc>
        <w:tc>
          <w:tcPr>
            <w:tcW w:w="7102" w:type="dxa"/>
            <w:tcBorders>
              <w:top w:val="single" w:color="auto" w:sz="12" w:space="0"/>
              <w:bottom w:val="single" w:color="auto" w:sz="4" w:space="0"/>
              <w:right w:val="single" w:color="auto" w:sz="12" w:space="0"/>
            </w:tcBorders>
            <w:vAlign w:val="center"/>
          </w:tcPr>
          <w:p>
            <w:pPr>
              <w:tabs>
                <w:tab w:val="left" w:pos="1337"/>
              </w:tabs>
              <w:spacing w:line="320" w:lineRule="exact"/>
              <w:rPr>
                <w:rFonts w:ascii="宋体" w:hAnsi="宋体" w:cs="宋体"/>
                <w:b/>
                <w:bCs/>
                <w:szCs w:val="21"/>
              </w:rPr>
            </w:pPr>
            <w:r>
              <w:rPr>
                <w:rFonts w:hint="eastAsia" w:ascii="宋体" w:hAnsi="宋体" w:cs="宋体"/>
                <w:b/>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477" w:type="dxa"/>
            <w:vMerge w:val="continue"/>
            <w:tcBorders>
              <w:left w:val="single" w:color="auto" w:sz="12" w:space="0"/>
            </w:tcBorders>
            <w:vAlign w:val="center"/>
          </w:tcPr>
          <w:p>
            <w:pPr>
              <w:tabs>
                <w:tab w:val="left" w:pos="1337"/>
              </w:tabs>
              <w:spacing w:line="320" w:lineRule="exact"/>
              <w:ind w:firstLine="440" w:firstLineChars="200"/>
              <w:rPr>
                <w:rFonts w:ascii="宋体" w:hAnsi="宋体" w:cs="宋体"/>
                <w:b/>
                <w:bCs/>
                <w:szCs w:val="21"/>
              </w:rPr>
            </w:pPr>
          </w:p>
        </w:tc>
        <w:tc>
          <w:tcPr>
            <w:tcW w:w="7102" w:type="dxa"/>
            <w:tcBorders>
              <w:right w:val="single" w:color="auto" w:sz="12" w:space="0"/>
            </w:tcBorders>
          </w:tcPr>
          <w:p>
            <w:pPr>
              <w:tabs>
                <w:tab w:val="left" w:pos="1337"/>
              </w:tabs>
              <w:spacing w:line="320" w:lineRule="exact"/>
              <w:rPr>
                <w:rFonts w:ascii="宋体" w:hAnsi="宋体" w:cs="宋体"/>
                <w:b/>
                <w:szCs w:val="21"/>
              </w:rPr>
            </w:pPr>
          </w:p>
          <w:p>
            <w:pPr>
              <w:tabs>
                <w:tab w:val="left" w:pos="1337"/>
              </w:tabs>
              <w:spacing w:line="320" w:lineRule="exact"/>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9579" w:type="dxa"/>
            <w:gridSpan w:val="2"/>
            <w:tcBorders>
              <w:left w:val="single" w:color="auto" w:sz="12" w:space="0"/>
              <w:right w:val="single" w:color="auto" w:sz="12" w:space="0"/>
            </w:tcBorders>
            <w:vAlign w:val="center"/>
          </w:tcPr>
          <w:p>
            <w:pPr>
              <w:tabs>
                <w:tab w:val="left" w:pos="1337"/>
              </w:tabs>
              <w:spacing w:line="320" w:lineRule="exact"/>
              <w:ind w:firstLine="660" w:firstLineChars="300"/>
              <w:rPr>
                <w:rFonts w:ascii="宋体" w:hAnsi="宋体" w:cs="宋体"/>
                <w:b/>
                <w:szCs w:val="21"/>
              </w:rPr>
            </w:pPr>
            <w:r>
              <w:rPr>
                <w:rFonts w:hint="eastAsia" w:ascii="宋体" w:hAnsi="宋体" w:cs="宋体"/>
                <w:b/>
                <w:szCs w:val="21"/>
              </w:rPr>
              <w:t>交付日期(服务期限)：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9579" w:type="dxa"/>
            <w:gridSpan w:val="2"/>
            <w:tcBorders>
              <w:left w:val="single" w:color="auto" w:sz="12" w:space="0"/>
              <w:bottom w:val="single" w:color="auto" w:sz="12" w:space="0"/>
              <w:right w:val="single" w:color="auto" w:sz="12" w:space="0"/>
            </w:tcBorders>
            <w:vAlign w:val="center"/>
          </w:tcPr>
          <w:p>
            <w:pPr>
              <w:tabs>
                <w:tab w:val="left" w:pos="1337"/>
              </w:tabs>
              <w:spacing w:line="320" w:lineRule="exact"/>
              <w:ind w:firstLine="660" w:firstLineChars="300"/>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bl>
    <w:p>
      <w:pPr>
        <w:tabs>
          <w:tab w:val="left" w:pos="567"/>
          <w:tab w:val="left" w:pos="1146"/>
          <w:tab w:val="left" w:pos="1719"/>
          <w:tab w:val="left" w:pos="2483"/>
        </w:tabs>
        <w:spacing w:before="120" w:line="320" w:lineRule="exact"/>
        <w:ind w:left="-14" w:leftChars="-135" w:hanging="283" w:hangingChars="118"/>
        <w:rPr>
          <w:rFonts w:ascii="宋体" w:hAnsi="宋体" w:cs="宋体"/>
          <w:sz w:val="24"/>
          <w:szCs w:val="21"/>
          <w:lang w:eastAsia="zh-CN"/>
        </w:rPr>
      </w:pPr>
      <w:r>
        <w:rPr>
          <w:rFonts w:hint="eastAsia" w:ascii="宋体" w:hAnsi="宋体" w:cs="宋体"/>
          <w:sz w:val="24"/>
          <w:szCs w:val="21"/>
          <w:lang w:eastAsia="zh-CN"/>
        </w:rPr>
        <w:t>说明： 1、报价一览表中“总价”是指提供服务及货物的全部费用的报价。</w:t>
      </w:r>
    </w:p>
    <w:p>
      <w:pPr>
        <w:tabs>
          <w:tab w:val="left" w:pos="567"/>
          <w:tab w:val="left" w:pos="1146"/>
          <w:tab w:val="left" w:pos="1719"/>
          <w:tab w:val="left" w:pos="2483"/>
        </w:tabs>
        <w:spacing w:before="120" w:line="320" w:lineRule="exact"/>
        <w:ind w:firstLine="600" w:firstLineChars="250"/>
        <w:rPr>
          <w:rFonts w:ascii="宋体" w:hAnsi="宋体" w:cs="宋体"/>
          <w:sz w:val="24"/>
          <w:szCs w:val="21"/>
          <w:lang w:eastAsia="zh-CN"/>
        </w:rPr>
      </w:pPr>
      <w:r>
        <w:rPr>
          <w:rFonts w:hint="eastAsia" w:ascii="宋体" w:hAnsi="宋体" w:cs="宋体"/>
          <w:sz w:val="24"/>
          <w:szCs w:val="21"/>
          <w:lang w:eastAsia="zh-CN"/>
        </w:rPr>
        <w:t>2、</w:t>
      </w:r>
      <w:r>
        <w:rPr>
          <w:rFonts w:hint="eastAsia" w:ascii="宋体" w:hAnsi="宋体" w:cs="宋体"/>
          <w:sz w:val="24"/>
          <w:lang w:eastAsia="zh-CN"/>
        </w:rPr>
        <w:t>总价应和分项报价表的合计总价相一致。</w:t>
      </w:r>
    </w:p>
    <w:p>
      <w:pPr>
        <w:rPr>
          <w:rFonts w:ascii="宋体" w:hAnsi="宋体" w:cs="宋体"/>
          <w:sz w:val="24"/>
          <w:szCs w:val="21"/>
          <w:lang w:eastAsia="zh-CN"/>
        </w:rPr>
      </w:pPr>
      <w:r>
        <w:rPr>
          <w:rFonts w:ascii="宋体" w:hAnsi="宋体" w:cs="宋体"/>
          <w:sz w:val="24"/>
          <w:szCs w:val="21"/>
          <w:lang w:eastAsia="zh-CN"/>
        </w:rPr>
        <w:br w:type="page"/>
      </w:r>
    </w:p>
    <w:p>
      <w:pPr>
        <w:pStyle w:val="5"/>
        <w:ind w:left="826" w:hanging="822" w:hangingChars="257"/>
        <w:rPr>
          <w:b/>
          <w:bCs/>
          <w:lang w:eastAsia="zh-CN"/>
        </w:rPr>
      </w:pPr>
      <w:bookmarkStart w:id="83" w:name="_Toc46235130"/>
      <w:bookmarkStart w:id="84" w:name="_Toc45562505"/>
      <w:bookmarkStart w:id="85" w:name="_Toc21851"/>
      <w:r>
        <w:rPr>
          <w:rFonts w:hint="eastAsia" w:cs="宋体"/>
          <w:lang w:eastAsia="zh-CN"/>
        </w:rPr>
        <w:t>三、资格证明文件</w:t>
      </w:r>
      <w:bookmarkEnd w:id="83"/>
      <w:bookmarkEnd w:id="84"/>
      <w:bookmarkEnd w:id="85"/>
    </w:p>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default"/>
          <w:b/>
          <w:bCs/>
          <w:szCs w:val="21"/>
          <w:highlight w:val="none"/>
          <w:lang w:val="en-US" w:eastAsia="zh-CN"/>
        </w:rPr>
      </w:pPr>
      <w:r>
        <w:rPr>
          <w:rFonts w:hint="eastAsia"/>
          <w:b/>
          <w:bCs/>
          <w:szCs w:val="21"/>
          <w:highlight w:val="none"/>
          <w:lang w:val="en-US" w:eastAsia="zh-CN"/>
        </w:rPr>
        <w:t>1、资格证明文件</w:t>
      </w:r>
    </w:p>
    <w:p>
      <w:pPr>
        <w:pStyle w:val="11"/>
        <w:rPr>
          <w:highlight w:val="none"/>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11"/>
        <w:rPr>
          <w:highlight w:val="yellow"/>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firstLine="0" w:firstLineChars="0"/>
        <w:textAlignment w:val="auto"/>
        <w:rPr>
          <w:rFonts w:hint="eastAsia"/>
          <w:b/>
          <w:bCs/>
          <w:szCs w:val="21"/>
          <w:highlight w:val="none"/>
          <w:lang w:val="en-US" w:eastAsia="zh-CN"/>
        </w:rPr>
      </w:pPr>
      <w:bookmarkStart w:id="86" w:name="_Toc46235131"/>
      <w:bookmarkStart w:id="87" w:name="_Toc518923109"/>
      <w:bookmarkStart w:id="88" w:name="_Toc681"/>
      <w:r>
        <w:rPr>
          <w:rFonts w:hint="eastAsia"/>
          <w:b/>
          <w:bCs/>
          <w:szCs w:val="21"/>
          <w:highlight w:val="none"/>
          <w:lang w:val="en-US" w:eastAsia="zh-CN"/>
        </w:rPr>
        <w:t>2.法人或者其他组织的营业执照等证明文件或自然人的身份证明</w:t>
      </w:r>
      <w:bookmarkEnd w:id="86"/>
      <w:bookmarkEnd w:id="87"/>
      <w:bookmarkEnd w:id="88"/>
    </w:p>
    <w:p>
      <w:pPr>
        <w:tabs>
          <w:tab w:val="left" w:pos="5580"/>
        </w:tabs>
        <w:spacing w:line="320" w:lineRule="exact"/>
        <w:rPr>
          <w:rFonts w:ascii="宋体" w:hAnsi="宋体" w:cs="宋体"/>
          <w:b/>
          <w:sz w:val="24"/>
          <w:szCs w:val="20"/>
          <w:lang w:eastAsia="zh-CN"/>
        </w:rPr>
      </w:pPr>
    </w:p>
    <w:p>
      <w:pPr>
        <w:tabs>
          <w:tab w:val="left" w:pos="5580"/>
        </w:tabs>
        <w:spacing w:line="320" w:lineRule="exact"/>
        <w:rPr>
          <w:rFonts w:ascii="宋体" w:hAnsi="宋体" w:cs="宋体"/>
          <w:sz w:val="24"/>
          <w:szCs w:val="20"/>
          <w:lang w:eastAsia="zh-CN"/>
        </w:rPr>
      </w:pPr>
      <w:r>
        <w:rPr>
          <w:rFonts w:hint="eastAsia" w:ascii="宋体" w:hAnsi="宋体" w:cs="宋体"/>
          <w:sz w:val="24"/>
          <w:szCs w:val="20"/>
          <w:lang w:eastAsia="zh-CN"/>
        </w:rPr>
        <w:t>说明：1.提供有效的营业执照等证明文件复印件。</w:t>
      </w:r>
    </w:p>
    <w:p>
      <w:pPr>
        <w:tabs>
          <w:tab w:val="left" w:pos="5580"/>
        </w:tabs>
        <w:spacing w:line="320" w:lineRule="exact"/>
        <w:ind w:firstLine="720" w:firstLineChars="300"/>
        <w:rPr>
          <w:rFonts w:ascii="宋体" w:hAnsi="宋体" w:cs="宋体"/>
          <w:sz w:val="24"/>
          <w:szCs w:val="20"/>
          <w:lang w:eastAsia="zh-CN"/>
        </w:rPr>
      </w:pPr>
      <w:r>
        <w:rPr>
          <w:rFonts w:hint="eastAsia" w:ascii="宋体" w:hAnsi="宋体" w:cs="宋体"/>
          <w:sz w:val="24"/>
          <w:szCs w:val="20"/>
          <w:lang w:eastAsia="zh-CN"/>
        </w:rPr>
        <w:t>2. 供应商为自然人的，应提供身份证明的复印件。</w:t>
      </w:r>
    </w:p>
    <w:p>
      <w:pPr>
        <w:tabs>
          <w:tab w:val="left" w:pos="5580"/>
        </w:tabs>
        <w:spacing w:line="320" w:lineRule="exact"/>
        <w:ind w:firstLine="720" w:firstLineChars="300"/>
        <w:rPr>
          <w:rFonts w:ascii="宋体" w:hAnsi="宋体" w:cs="宋体"/>
          <w:sz w:val="24"/>
          <w:szCs w:val="20"/>
          <w:lang w:eastAsia="zh-CN"/>
        </w:rPr>
      </w:pPr>
      <w:r>
        <w:rPr>
          <w:rFonts w:hint="eastAsia" w:ascii="宋体" w:hAnsi="宋体" w:cs="宋体"/>
          <w:sz w:val="24"/>
          <w:szCs w:val="20"/>
          <w:lang w:eastAsia="zh-CN"/>
        </w:rPr>
        <w:t>3.联合体响应文件应提供联合体各方满足以上要求的证明文件。</w:t>
      </w:r>
    </w:p>
    <w:p>
      <w:pPr>
        <w:tabs>
          <w:tab w:val="left" w:pos="5580"/>
        </w:tabs>
        <w:spacing w:line="320" w:lineRule="exact"/>
        <w:ind w:left="1105" w:leftChars="257" w:hanging="540"/>
        <w:jc w:val="center"/>
        <w:rPr>
          <w:rFonts w:ascii="宋体" w:hAnsi="宋体" w:cs="宋体"/>
          <w:sz w:val="24"/>
          <w:szCs w:val="20"/>
          <w:lang w:eastAsia="zh-CN"/>
        </w:rPr>
      </w:pPr>
      <w:r>
        <w:rPr>
          <w:rFonts w:hint="eastAsia" w:ascii="宋体" w:hAnsi="宋体" w:cs="宋体"/>
          <w:sz w:val="24"/>
          <w:szCs w:val="20"/>
          <w:lang w:eastAsia="zh-CN"/>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auto"/>
        <w:ind w:left="0" w:firstLine="0" w:firstLineChars="0"/>
        <w:textAlignment w:val="auto"/>
        <w:rPr>
          <w:rFonts w:hint="eastAsia"/>
          <w:b/>
          <w:bCs/>
          <w:szCs w:val="21"/>
          <w:highlight w:val="none"/>
          <w:lang w:val="en-US" w:eastAsia="zh-CN"/>
        </w:rPr>
      </w:pPr>
      <w:bookmarkStart w:id="89" w:name="_Toc2583670"/>
      <w:bookmarkStart w:id="90" w:name="_Toc46235132"/>
      <w:bookmarkStart w:id="91" w:name="_Toc19657"/>
      <w:bookmarkStart w:id="92" w:name="_Toc518923110"/>
    </w:p>
    <w:p>
      <w:pPr>
        <w:pStyle w:val="2"/>
        <w:keepNext w:val="0"/>
        <w:keepLines w:val="0"/>
        <w:pageBreakBefore w:val="0"/>
        <w:widowControl w:val="0"/>
        <w:kinsoku/>
        <w:wordWrap/>
        <w:overflowPunct/>
        <w:topLinePunct w:val="0"/>
        <w:autoSpaceDE/>
        <w:autoSpaceDN/>
        <w:bidi w:val="0"/>
        <w:adjustRightInd/>
        <w:snapToGrid/>
        <w:spacing w:before="0" w:line="360" w:lineRule="auto"/>
        <w:ind w:left="0" w:firstLine="0" w:firstLineChars="0"/>
        <w:textAlignment w:val="auto"/>
        <w:rPr>
          <w:rFonts w:hint="eastAsia"/>
          <w:b/>
          <w:bCs/>
          <w:szCs w:val="21"/>
          <w:highlight w:val="none"/>
          <w:lang w:val="en-US" w:eastAsia="zh-CN"/>
        </w:rPr>
      </w:pPr>
      <w:r>
        <w:rPr>
          <w:rFonts w:hint="eastAsia"/>
          <w:b/>
          <w:bCs/>
          <w:szCs w:val="21"/>
          <w:highlight w:val="none"/>
          <w:lang w:val="en-US" w:eastAsia="zh-CN"/>
        </w:rPr>
        <w:t>3.法定代表人或负责人身份证明书</w:t>
      </w:r>
      <w:bookmarkEnd w:id="89"/>
      <w:bookmarkEnd w:id="90"/>
      <w:r>
        <w:rPr>
          <w:rFonts w:hint="eastAsia"/>
          <w:b/>
          <w:bCs/>
          <w:szCs w:val="21"/>
          <w:highlight w:val="none"/>
          <w:lang w:val="en-US" w:eastAsia="zh-CN"/>
        </w:rPr>
        <w:t>（参考）</w:t>
      </w:r>
      <w:bookmarkEnd w:id="91"/>
    </w:p>
    <w:p>
      <w:pPr>
        <w:pStyle w:val="11"/>
        <w:rPr>
          <w:rFonts w:hAnsi="宋体" w:cs="宋体"/>
          <w:lang w:eastAsia="zh-CN"/>
        </w:rPr>
      </w:pPr>
    </w:p>
    <w:p>
      <w:pPr>
        <w:tabs>
          <w:tab w:val="left" w:pos="5580"/>
        </w:tabs>
        <w:spacing w:line="360" w:lineRule="auto"/>
        <w:ind w:left="1098" w:leftChars="-29" w:hanging="1161"/>
        <w:rPr>
          <w:rFonts w:ascii="宋体" w:hAnsi="宋体" w:eastAsia="宋体" w:cs="宋体"/>
          <w:sz w:val="24"/>
          <w:szCs w:val="20"/>
          <w:lang w:eastAsia="zh-CN"/>
        </w:rPr>
      </w:pPr>
      <w:r>
        <w:rPr>
          <w:rFonts w:hint="eastAsia" w:ascii="宋体" w:hAnsi="宋体" w:eastAsia="宋体" w:cs="宋体"/>
          <w:sz w:val="24"/>
          <w:szCs w:val="20"/>
          <w:u w:val="single"/>
          <w:lang w:eastAsia="zh-CN"/>
        </w:rPr>
        <w:t>致临沂正旭建设项目管理有限公司</w:t>
      </w:r>
      <w:r>
        <w:rPr>
          <w:rFonts w:hint="eastAsia" w:ascii="宋体" w:hAnsi="宋体" w:eastAsia="宋体" w:cs="宋体"/>
          <w:sz w:val="24"/>
          <w:szCs w:val="20"/>
          <w:lang w:eastAsia="zh-CN"/>
        </w:rPr>
        <w:t>：</w:t>
      </w:r>
    </w:p>
    <w:p>
      <w:pPr>
        <w:tabs>
          <w:tab w:val="left" w:pos="5580"/>
        </w:tabs>
        <w:spacing w:line="320" w:lineRule="exact"/>
        <w:ind w:left="1098" w:leftChars="-29" w:hanging="1161"/>
        <w:rPr>
          <w:rFonts w:ascii="宋体" w:hAnsi="宋体" w:eastAsia="宋体" w:cs="宋体"/>
          <w:sz w:val="24"/>
          <w:szCs w:val="20"/>
          <w:lang w:eastAsia="zh-CN"/>
        </w:rPr>
      </w:pPr>
    </w:p>
    <w:p>
      <w:pPr>
        <w:tabs>
          <w:tab w:val="left" w:pos="5580"/>
        </w:tabs>
        <w:spacing w:line="320" w:lineRule="exact"/>
        <w:ind w:left="-118" w:leftChars="-54" w:firstLine="480" w:firstLineChars="200"/>
        <w:rPr>
          <w:rFonts w:ascii="宋体" w:hAnsi="宋体" w:eastAsia="宋体" w:cs="宋体"/>
          <w:sz w:val="24"/>
          <w:szCs w:val="20"/>
          <w:lang w:eastAsia="zh-CN"/>
        </w:rPr>
      </w:pPr>
      <w:r>
        <w:rPr>
          <w:rFonts w:hint="eastAsia" w:ascii="宋体" w:hAnsi="宋体" w:eastAsia="宋体" w:cs="宋体"/>
          <w:sz w:val="24"/>
          <w:szCs w:val="20"/>
          <w:u w:val="single"/>
          <w:lang w:eastAsia="zh-CN"/>
        </w:rPr>
        <w:t>（姓名、性别、年龄、身份证号码）</w:t>
      </w:r>
      <w:r>
        <w:rPr>
          <w:rFonts w:hint="eastAsia" w:ascii="宋体" w:hAnsi="宋体" w:eastAsia="宋体" w:cs="宋体"/>
          <w:sz w:val="24"/>
          <w:szCs w:val="20"/>
          <w:lang w:eastAsia="zh-CN"/>
        </w:rPr>
        <w:t>在我单位任</w:t>
      </w:r>
      <w:r>
        <w:rPr>
          <w:rFonts w:hint="eastAsia" w:ascii="宋体" w:hAnsi="宋体" w:eastAsia="宋体" w:cs="宋体"/>
          <w:sz w:val="24"/>
          <w:szCs w:val="20"/>
          <w:u w:val="single"/>
          <w:lang w:eastAsia="zh-CN"/>
        </w:rPr>
        <w:t>（董事长、总经理等）</w:t>
      </w:r>
      <w:r>
        <w:rPr>
          <w:rFonts w:hint="eastAsia" w:ascii="宋体" w:hAnsi="宋体" w:eastAsia="宋体" w:cs="宋体"/>
          <w:sz w:val="24"/>
          <w:szCs w:val="20"/>
          <w:lang w:eastAsia="zh-CN"/>
        </w:rPr>
        <w:t>职务，是我单位的法定代表人/负责人。</w:t>
      </w:r>
    </w:p>
    <w:p>
      <w:pPr>
        <w:tabs>
          <w:tab w:val="left" w:pos="5580"/>
        </w:tabs>
        <w:spacing w:line="320" w:lineRule="exact"/>
        <w:ind w:left="1105" w:leftChars="257" w:hanging="540"/>
        <w:rPr>
          <w:rFonts w:ascii="宋体" w:hAnsi="宋体" w:eastAsia="宋体" w:cs="宋体"/>
          <w:sz w:val="24"/>
          <w:szCs w:val="20"/>
          <w:lang w:eastAsia="zh-CN"/>
        </w:rPr>
      </w:pPr>
    </w:p>
    <w:p>
      <w:pPr>
        <w:tabs>
          <w:tab w:val="left" w:pos="5580"/>
        </w:tabs>
        <w:spacing w:line="320" w:lineRule="exact"/>
        <w:ind w:left="1105" w:leftChars="257" w:hanging="540"/>
        <w:rPr>
          <w:rFonts w:ascii="宋体" w:hAnsi="宋体" w:eastAsia="宋体" w:cs="宋体"/>
          <w:sz w:val="24"/>
          <w:szCs w:val="20"/>
          <w:lang w:eastAsia="zh-CN"/>
        </w:rPr>
      </w:pPr>
      <w:r>
        <w:rPr>
          <w:rFonts w:hint="eastAsia" w:ascii="宋体" w:hAnsi="宋体" w:eastAsia="宋体" w:cs="宋体"/>
          <w:sz w:val="24"/>
          <w:szCs w:val="20"/>
          <w:lang w:eastAsia="zh-CN"/>
        </w:rPr>
        <w:t>特此证明。</w:t>
      </w:r>
    </w:p>
    <w:p>
      <w:pPr>
        <w:spacing w:line="320" w:lineRule="exact"/>
        <w:rPr>
          <w:rFonts w:ascii="宋体" w:hAnsi="宋体" w:eastAsia="宋体" w:cs="宋体"/>
          <w:sz w:val="24"/>
          <w:lang w:eastAsia="zh-CN"/>
        </w:rPr>
      </w:pPr>
    </w:p>
    <w:p>
      <w:pPr>
        <w:tabs>
          <w:tab w:val="left" w:pos="5580"/>
        </w:tabs>
        <w:spacing w:line="320" w:lineRule="exact"/>
        <w:ind w:left="-565" w:leftChars="-257" w:firstLine="900" w:firstLineChars="375"/>
        <w:rPr>
          <w:rFonts w:ascii="宋体" w:hAnsi="宋体" w:eastAsia="宋体" w:cs="宋体"/>
          <w:sz w:val="24"/>
          <w:szCs w:val="20"/>
          <w:lang w:eastAsia="zh-CN"/>
        </w:rPr>
      </w:pPr>
      <w:r>
        <w:rPr>
          <w:rFonts w:hint="eastAsia" w:ascii="宋体" w:hAnsi="宋体" w:eastAsia="宋体" w:cs="宋体"/>
          <w:sz w:val="24"/>
          <w:szCs w:val="20"/>
          <w:lang w:eastAsia="zh-CN"/>
        </w:rPr>
        <w:t>供应商（盖公章）：</w:t>
      </w:r>
    </w:p>
    <w:p>
      <w:pPr>
        <w:tabs>
          <w:tab w:val="left" w:pos="5580"/>
        </w:tabs>
        <w:spacing w:line="320" w:lineRule="exact"/>
        <w:ind w:left="-565" w:leftChars="-257" w:firstLine="900" w:firstLineChars="375"/>
        <w:rPr>
          <w:rFonts w:ascii="宋体" w:hAnsi="宋体" w:eastAsia="宋体" w:cs="宋体"/>
          <w:sz w:val="24"/>
          <w:szCs w:val="20"/>
          <w:lang w:eastAsia="zh-CN"/>
        </w:rPr>
      </w:pPr>
    </w:p>
    <w:p>
      <w:pPr>
        <w:tabs>
          <w:tab w:val="left" w:pos="5580"/>
        </w:tabs>
        <w:spacing w:line="320" w:lineRule="exact"/>
        <w:ind w:left="-565" w:leftChars="-257" w:firstLine="900" w:firstLineChars="375"/>
        <w:rPr>
          <w:rFonts w:ascii="宋体" w:hAnsi="宋体" w:eastAsia="宋体" w:cs="宋体"/>
          <w:sz w:val="24"/>
          <w:szCs w:val="20"/>
          <w:lang w:eastAsia="zh-CN"/>
        </w:rPr>
      </w:pPr>
      <w:r>
        <w:rPr>
          <w:rFonts w:hint="eastAsia" w:ascii="宋体" w:hAnsi="宋体" w:eastAsia="宋体" w:cs="宋体"/>
          <w:sz w:val="24"/>
          <w:szCs w:val="20"/>
          <w:lang w:eastAsia="zh-CN"/>
        </w:rPr>
        <w:t>注：自然人响应文件的无需提供</w:t>
      </w:r>
    </w:p>
    <w:p>
      <w:pPr>
        <w:tabs>
          <w:tab w:val="left" w:pos="5580"/>
        </w:tabs>
        <w:spacing w:line="360" w:lineRule="auto"/>
        <w:ind w:firstLine="360" w:firstLineChars="150"/>
        <w:rPr>
          <w:rFonts w:ascii="宋体" w:hAnsi="宋体" w:cs="宋体"/>
          <w:sz w:val="24"/>
          <w:szCs w:val="20"/>
          <w:lang w:eastAsia="zh-CN"/>
        </w:rPr>
      </w:pPr>
    </w:p>
    <w:p>
      <w:pPr>
        <w:pStyle w:val="2"/>
        <w:rPr>
          <w:rFonts w:ascii="宋体" w:hAnsi="宋体" w:cs="宋体"/>
          <w:sz w:val="24"/>
          <w:szCs w:val="20"/>
          <w:lang w:eastAsia="zh-CN"/>
        </w:rPr>
      </w:pPr>
    </w:p>
    <w:p>
      <w:pPr>
        <w:rPr>
          <w:rFonts w:ascii="宋体" w:hAnsi="宋体" w:cs="宋体"/>
          <w:sz w:val="24"/>
          <w:szCs w:val="20"/>
          <w:lang w:eastAsia="zh-CN"/>
        </w:rPr>
      </w:pPr>
    </w:p>
    <w:p>
      <w:pPr>
        <w:pStyle w:val="2"/>
        <w:rPr>
          <w:lang w:eastAsia="zh-CN"/>
        </w:rPr>
      </w:pPr>
    </w:p>
    <w:p>
      <w:pPr>
        <w:rPr>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firstLine="0" w:firstLineChars="0"/>
        <w:textAlignment w:val="auto"/>
        <w:rPr>
          <w:rFonts w:hint="eastAsia"/>
          <w:b/>
          <w:bCs/>
          <w:szCs w:val="21"/>
          <w:highlight w:val="none"/>
          <w:lang w:val="en-US" w:eastAsia="zh-CN"/>
        </w:rPr>
      </w:pPr>
      <w:bookmarkStart w:id="93" w:name="_Toc46235133"/>
      <w:bookmarkStart w:id="94" w:name="_Toc10939"/>
      <w:r>
        <w:rPr>
          <w:rFonts w:hint="eastAsia"/>
          <w:b/>
          <w:bCs/>
          <w:szCs w:val="21"/>
          <w:highlight w:val="none"/>
          <w:lang w:val="en-US" w:eastAsia="zh-CN"/>
        </w:rPr>
        <w:t>4.法定代表人或负责人授权书</w:t>
      </w:r>
      <w:bookmarkEnd w:id="92"/>
      <w:bookmarkEnd w:id="93"/>
      <w:r>
        <w:rPr>
          <w:rFonts w:hint="eastAsia"/>
          <w:b/>
          <w:bCs/>
          <w:szCs w:val="21"/>
          <w:highlight w:val="none"/>
          <w:lang w:val="en-US" w:eastAsia="zh-CN"/>
        </w:rPr>
        <w:t>（参考）</w:t>
      </w:r>
      <w:bookmarkEnd w:id="94"/>
    </w:p>
    <w:p>
      <w:pPr>
        <w:spacing w:line="320" w:lineRule="exact"/>
        <w:ind w:left="1105" w:leftChars="257" w:hanging="540"/>
        <w:rPr>
          <w:rFonts w:ascii="宋体" w:hAnsi="宋体" w:cs="宋体"/>
          <w:sz w:val="24"/>
          <w:szCs w:val="20"/>
          <w:lang w:eastAsia="zh-CN"/>
        </w:rPr>
      </w:pPr>
    </w:p>
    <w:p>
      <w:pPr>
        <w:tabs>
          <w:tab w:val="left" w:pos="5580"/>
        </w:tabs>
        <w:spacing w:line="320" w:lineRule="exact"/>
        <w:ind w:firstLine="480"/>
        <w:rPr>
          <w:rFonts w:ascii="宋体" w:hAnsi="宋体" w:eastAsia="宋体" w:cs="宋体"/>
          <w:sz w:val="24"/>
          <w:szCs w:val="20"/>
          <w:lang w:eastAsia="zh-CN"/>
        </w:rPr>
      </w:pPr>
      <w:r>
        <w:rPr>
          <w:rFonts w:hint="eastAsia" w:ascii="宋体" w:hAnsi="宋体" w:eastAsia="宋体" w:cs="宋体"/>
          <w:sz w:val="24"/>
          <w:szCs w:val="20"/>
          <w:lang w:eastAsia="zh-CN"/>
        </w:rPr>
        <w:t>本授权书声明：注册于</w:t>
      </w:r>
      <w:r>
        <w:rPr>
          <w:rFonts w:hint="eastAsia" w:ascii="宋体" w:hAnsi="宋体" w:eastAsia="宋体" w:cs="宋体"/>
          <w:sz w:val="24"/>
          <w:szCs w:val="20"/>
          <w:u w:val="single"/>
          <w:lang w:eastAsia="zh-CN"/>
        </w:rPr>
        <w:t>（国家或地区的名称）</w:t>
      </w:r>
      <w:r>
        <w:rPr>
          <w:rFonts w:hint="eastAsia" w:ascii="宋体" w:hAnsi="宋体" w:eastAsia="宋体" w:cs="宋体"/>
          <w:sz w:val="24"/>
          <w:szCs w:val="20"/>
          <w:lang w:eastAsia="zh-CN"/>
        </w:rPr>
        <w:t>的（</w:t>
      </w:r>
      <w:r>
        <w:rPr>
          <w:rFonts w:hint="eastAsia" w:ascii="宋体" w:hAnsi="宋体" w:eastAsia="宋体" w:cs="宋体"/>
          <w:i/>
          <w:sz w:val="24"/>
          <w:szCs w:val="20"/>
          <w:u w:val="single"/>
          <w:lang w:eastAsia="zh-CN"/>
        </w:rPr>
        <w:t>供应商</w:t>
      </w:r>
      <w:r>
        <w:rPr>
          <w:rFonts w:hint="eastAsia" w:ascii="宋体" w:hAnsi="宋体" w:eastAsia="宋体" w:cs="宋体"/>
          <w:sz w:val="24"/>
          <w:szCs w:val="20"/>
          <w:lang w:eastAsia="zh-CN"/>
        </w:rPr>
        <w:t>）的在下面签字的（</w:t>
      </w:r>
      <w:r>
        <w:rPr>
          <w:rFonts w:hint="eastAsia" w:ascii="宋体" w:hAnsi="宋体" w:eastAsia="宋体" w:cs="宋体"/>
          <w:i/>
          <w:sz w:val="24"/>
          <w:szCs w:val="20"/>
          <w:u w:val="single"/>
          <w:lang w:eastAsia="zh-CN"/>
        </w:rPr>
        <w:t>法定代表人</w:t>
      </w:r>
      <w:r>
        <w:rPr>
          <w:rFonts w:hint="eastAsia" w:ascii="宋体" w:hAnsi="宋体" w:eastAsia="宋体" w:cs="宋体"/>
          <w:sz w:val="24"/>
          <w:szCs w:val="20"/>
          <w:u w:val="single"/>
          <w:lang w:eastAsia="zh-CN"/>
        </w:rPr>
        <w:t>/负责人</w:t>
      </w:r>
      <w:r>
        <w:rPr>
          <w:rFonts w:hint="eastAsia" w:ascii="宋体" w:hAnsi="宋体" w:eastAsia="宋体" w:cs="宋体"/>
          <w:i/>
          <w:sz w:val="24"/>
          <w:szCs w:val="20"/>
          <w:u w:val="single"/>
          <w:lang w:eastAsia="zh-CN"/>
        </w:rPr>
        <w:t>姓名、职务</w:t>
      </w:r>
      <w:r>
        <w:rPr>
          <w:rFonts w:hint="eastAsia" w:ascii="宋体" w:hAnsi="宋体" w:eastAsia="宋体" w:cs="宋体"/>
          <w:sz w:val="24"/>
          <w:szCs w:val="20"/>
          <w:lang w:eastAsia="zh-CN"/>
        </w:rPr>
        <w:t>）代表我单位授权（</w:t>
      </w:r>
      <w:r>
        <w:rPr>
          <w:rFonts w:hint="eastAsia" w:ascii="宋体" w:hAnsi="宋体" w:eastAsia="宋体" w:cs="宋体"/>
          <w:i/>
          <w:sz w:val="24"/>
          <w:szCs w:val="20"/>
          <w:u w:val="single"/>
          <w:lang w:eastAsia="zh-CN"/>
        </w:rPr>
        <w:t>单位名称</w:t>
      </w:r>
      <w:r>
        <w:rPr>
          <w:rFonts w:hint="eastAsia" w:ascii="宋体" w:hAnsi="宋体" w:eastAsia="宋体" w:cs="宋体"/>
          <w:sz w:val="24"/>
          <w:szCs w:val="20"/>
          <w:lang w:eastAsia="zh-CN"/>
        </w:rPr>
        <w:t>）的在下面签字的（</w:t>
      </w:r>
      <w:r>
        <w:rPr>
          <w:rFonts w:hint="eastAsia" w:ascii="宋体" w:hAnsi="宋体" w:eastAsia="宋体" w:cs="宋体"/>
          <w:i/>
          <w:sz w:val="24"/>
          <w:szCs w:val="20"/>
          <w:u w:val="single"/>
          <w:lang w:eastAsia="zh-CN"/>
        </w:rPr>
        <w:t>被授权人的姓名、职务</w:t>
      </w:r>
      <w:r>
        <w:rPr>
          <w:rFonts w:hint="eastAsia" w:ascii="宋体" w:hAnsi="宋体" w:eastAsia="宋体" w:cs="宋体"/>
          <w:sz w:val="24"/>
          <w:szCs w:val="20"/>
          <w:lang w:eastAsia="zh-CN"/>
        </w:rPr>
        <w:t>）为我单位的合法代理人，就（</w:t>
      </w:r>
      <w:r>
        <w:rPr>
          <w:rFonts w:hint="eastAsia" w:ascii="宋体" w:hAnsi="宋体" w:eastAsia="宋体" w:cs="宋体"/>
          <w:i/>
          <w:sz w:val="24"/>
          <w:szCs w:val="20"/>
          <w:u w:val="single"/>
          <w:lang w:eastAsia="zh-CN"/>
        </w:rPr>
        <w:t>项目名称</w:t>
      </w:r>
      <w:r>
        <w:rPr>
          <w:rFonts w:hint="eastAsia" w:ascii="宋体" w:hAnsi="宋体" w:eastAsia="宋体" w:cs="宋体"/>
          <w:sz w:val="24"/>
          <w:szCs w:val="20"/>
          <w:lang w:eastAsia="zh-CN"/>
        </w:rPr>
        <w:t>）的（</w:t>
      </w:r>
      <w:r>
        <w:rPr>
          <w:rFonts w:hint="eastAsia" w:ascii="宋体" w:hAnsi="宋体" w:eastAsia="宋体" w:cs="宋体"/>
          <w:i/>
          <w:sz w:val="24"/>
          <w:szCs w:val="20"/>
          <w:u w:val="single"/>
          <w:lang w:eastAsia="zh-CN"/>
        </w:rPr>
        <w:t>合同名称</w:t>
      </w:r>
      <w:r>
        <w:rPr>
          <w:rFonts w:hint="eastAsia" w:ascii="宋体" w:hAnsi="宋体" w:eastAsia="宋体" w:cs="宋体"/>
          <w:sz w:val="24"/>
          <w:szCs w:val="20"/>
          <w:lang w:eastAsia="zh-CN"/>
        </w:rPr>
        <w:t>）响应文件，以我单位名义处理一切与之有关的事务。</w:t>
      </w:r>
      <w:r>
        <w:rPr>
          <w:rFonts w:hint="eastAsia" w:ascii="宋体" w:hAnsi="宋体" w:eastAsia="宋体" w:cs="宋体"/>
          <w:sz w:val="24"/>
          <w:szCs w:val="20"/>
          <w:lang w:eastAsia="zh-CN"/>
        </w:rPr>
        <w:cr/>
      </w:r>
      <w:r>
        <w:rPr>
          <w:rFonts w:hint="eastAsia" w:ascii="宋体" w:hAnsi="宋体" w:eastAsia="宋体" w:cs="宋体"/>
          <w:sz w:val="24"/>
          <w:szCs w:val="20"/>
          <w:lang w:eastAsia="zh-CN"/>
        </w:rPr>
        <w:t>　　</w:t>
      </w:r>
    </w:p>
    <w:p>
      <w:pPr>
        <w:tabs>
          <w:tab w:val="left" w:pos="5580"/>
        </w:tabs>
        <w:spacing w:line="320" w:lineRule="exact"/>
        <w:ind w:left="-565" w:leftChars="-257" w:firstLine="900" w:firstLineChars="375"/>
        <w:rPr>
          <w:rFonts w:ascii="宋体" w:hAnsi="宋体" w:eastAsia="宋体" w:cs="宋体"/>
          <w:sz w:val="24"/>
          <w:szCs w:val="20"/>
          <w:lang w:eastAsia="zh-CN"/>
        </w:rPr>
      </w:pPr>
      <w:r>
        <w:rPr>
          <w:rFonts w:hint="eastAsia" w:ascii="宋体" w:hAnsi="宋体" w:eastAsia="宋体" w:cs="宋体"/>
          <w:sz w:val="24"/>
          <w:szCs w:val="20"/>
          <w:lang w:eastAsia="zh-CN"/>
        </w:rPr>
        <w:t>本授权书于年月日签字生效,特此声明。</w:t>
      </w:r>
      <w:r>
        <w:rPr>
          <w:rFonts w:hint="eastAsia" w:ascii="宋体" w:hAnsi="宋体" w:eastAsia="宋体" w:cs="宋体"/>
          <w:sz w:val="24"/>
          <w:szCs w:val="20"/>
          <w:lang w:eastAsia="zh-CN"/>
        </w:rPr>
        <w:cr/>
      </w:r>
      <w:r>
        <w:rPr>
          <w:rFonts w:hint="eastAsia" w:ascii="宋体" w:hAnsi="宋体" w:eastAsia="宋体" w:cs="宋体"/>
          <w:sz w:val="24"/>
          <w:szCs w:val="20"/>
          <w:lang w:eastAsia="zh-CN"/>
        </w:rPr>
        <w:cr/>
      </w:r>
    </w:p>
    <w:p>
      <w:pPr>
        <w:tabs>
          <w:tab w:val="left" w:pos="5580"/>
        </w:tabs>
        <w:spacing w:line="320" w:lineRule="exact"/>
        <w:ind w:left="-565" w:leftChars="-257" w:firstLine="900" w:firstLineChars="375"/>
        <w:rPr>
          <w:rFonts w:ascii="宋体" w:hAnsi="宋体" w:eastAsia="宋体" w:cs="宋体"/>
          <w:sz w:val="24"/>
          <w:szCs w:val="20"/>
          <w:lang w:eastAsia="zh-CN"/>
        </w:rPr>
      </w:pPr>
    </w:p>
    <w:p>
      <w:pPr>
        <w:tabs>
          <w:tab w:val="left" w:pos="5580"/>
        </w:tabs>
        <w:spacing w:line="320" w:lineRule="exact"/>
        <w:ind w:left="-565" w:leftChars="-257" w:firstLine="900" w:firstLineChars="375"/>
        <w:rPr>
          <w:rFonts w:ascii="宋体" w:hAnsi="宋体" w:eastAsia="宋体" w:cs="宋体"/>
          <w:sz w:val="24"/>
          <w:szCs w:val="20"/>
          <w:u w:val="single"/>
          <w:lang w:eastAsia="zh-CN"/>
        </w:rPr>
      </w:pPr>
      <w:r>
        <w:rPr>
          <w:rFonts w:hint="eastAsia" w:ascii="宋体" w:hAnsi="宋体" w:eastAsia="宋体" w:cs="宋体"/>
          <w:sz w:val="24"/>
          <w:szCs w:val="20"/>
          <w:lang w:eastAsia="zh-CN"/>
        </w:rPr>
        <w:t>供应商（盖单位公章）：</w:t>
      </w:r>
    </w:p>
    <w:p>
      <w:pPr>
        <w:tabs>
          <w:tab w:val="left" w:pos="5580"/>
        </w:tabs>
        <w:spacing w:line="320" w:lineRule="exact"/>
        <w:ind w:left="-565" w:leftChars="-257" w:firstLine="900" w:firstLineChars="375"/>
        <w:rPr>
          <w:rFonts w:ascii="宋体" w:hAnsi="宋体" w:eastAsia="宋体" w:cs="宋体"/>
          <w:sz w:val="24"/>
          <w:szCs w:val="20"/>
          <w:u w:val="single"/>
          <w:lang w:eastAsia="zh-CN"/>
        </w:rPr>
      </w:pPr>
      <w:r>
        <w:rPr>
          <w:rFonts w:hint="eastAsia" w:ascii="宋体" w:hAnsi="宋体" w:eastAsia="宋体" w:cs="宋体"/>
          <w:sz w:val="24"/>
          <w:szCs w:val="20"/>
          <w:lang w:eastAsia="zh-CN"/>
        </w:rPr>
        <w:t>法定代表人/负责人(签章)：</w:t>
      </w:r>
    </w:p>
    <w:p>
      <w:pPr>
        <w:tabs>
          <w:tab w:val="left" w:pos="5580"/>
        </w:tabs>
        <w:spacing w:line="320" w:lineRule="exact"/>
        <w:ind w:left="-565" w:leftChars="-257" w:firstLine="900" w:firstLineChars="375"/>
        <w:rPr>
          <w:rFonts w:ascii="宋体" w:hAnsi="宋体" w:eastAsia="宋体" w:cs="宋体"/>
          <w:sz w:val="24"/>
          <w:szCs w:val="20"/>
          <w:u w:val="single"/>
          <w:lang w:eastAsia="zh-CN"/>
        </w:rPr>
      </w:pPr>
      <w:r>
        <w:rPr>
          <w:rFonts w:hint="eastAsia" w:ascii="宋体" w:hAnsi="宋体" w:eastAsia="宋体" w:cs="宋体"/>
          <w:sz w:val="24"/>
          <w:szCs w:val="20"/>
          <w:lang w:eastAsia="zh-CN"/>
        </w:rPr>
        <w:t>法定代表人/负责人身份证号码：</w:t>
      </w:r>
    </w:p>
    <w:p>
      <w:pPr>
        <w:tabs>
          <w:tab w:val="left" w:pos="5580"/>
        </w:tabs>
        <w:spacing w:line="320" w:lineRule="exact"/>
        <w:ind w:firstLine="360" w:firstLineChars="150"/>
        <w:rPr>
          <w:rFonts w:ascii="宋体" w:hAnsi="宋体" w:eastAsia="宋体" w:cs="宋体"/>
          <w:sz w:val="24"/>
          <w:szCs w:val="20"/>
          <w:lang w:eastAsia="zh-CN"/>
        </w:rPr>
      </w:pPr>
      <w:r>
        <w:rPr>
          <w:rFonts w:hint="eastAsia" w:ascii="宋体" w:hAnsi="宋体" w:eastAsia="宋体" w:cs="宋体"/>
          <w:sz w:val="24"/>
          <w:szCs w:val="20"/>
          <w:lang w:eastAsia="zh-CN"/>
        </w:rPr>
        <w:t>委托代理人身份证号码：</w:t>
      </w:r>
    </w:p>
    <w:p>
      <w:pPr>
        <w:spacing w:line="300" w:lineRule="exact"/>
        <w:ind w:left="120" w:right="-20"/>
        <w:rPr>
          <w:rFonts w:ascii="宋体" w:hAnsi="宋体" w:eastAsia="宋体" w:cs="宋体"/>
          <w:position w:val="-3"/>
          <w:sz w:val="24"/>
          <w:lang w:eastAsia="zh-CN"/>
        </w:rPr>
      </w:pPr>
    </w:p>
    <w:p>
      <w:pPr>
        <w:spacing w:line="300" w:lineRule="exact"/>
        <w:ind w:left="125" w:leftChars="57" w:right="-20" w:firstLine="240" w:firstLineChars="100"/>
        <w:rPr>
          <w:rFonts w:ascii="宋体" w:hAnsi="宋体" w:eastAsia="宋体" w:cs="宋体"/>
          <w:sz w:val="24"/>
          <w:lang w:eastAsia="zh-CN"/>
        </w:rPr>
      </w:pPr>
      <w:r>
        <w:rPr>
          <w:rFonts w:hint="eastAsia" w:ascii="宋体" w:hAnsi="宋体" w:eastAsia="宋体" w:cs="宋体"/>
          <w:position w:val="-3"/>
          <w:sz w:val="24"/>
          <w:lang w:eastAsia="zh-CN"/>
        </w:rPr>
        <w:t>注：自然人响应文件的无需提供</w:t>
      </w:r>
    </w:p>
    <w:p>
      <w:pPr>
        <w:tabs>
          <w:tab w:val="left" w:pos="5580"/>
        </w:tabs>
        <w:spacing w:line="320" w:lineRule="exact"/>
        <w:ind w:firstLine="360" w:firstLineChars="150"/>
        <w:rPr>
          <w:rFonts w:ascii="宋体" w:hAnsi="宋体" w:eastAsia="宋体" w:cs="宋体"/>
          <w:b/>
          <w:sz w:val="24"/>
          <w:szCs w:val="20"/>
          <w:lang w:eastAsia="zh-CN"/>
        </w:rPr>
      </w:pPr>
      <w:r>
        <w:rPr>
          <w:rFonts w:hint="eastAsia" w:ascii="宋体" w:hAnsi="宋体" w:eastAsia="宋体" w:cs="宋体"/>
          <w:b/>
          <w:sz w:val="24"/>
          <w:szCs w:val="20"/>
          <w:lang w:eastAsia="zh-CN"/>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auto"/>
        <w:ind w:left="0" w:firstLine="0" w:firstLineChars="0"/>
        <w:textAlignment w:val="auto"/>
        <w:rPr>
          <w:rFonts w:hint="eastAsia"/>
          <w:b/>
          <w:bCs/>
          <w:szCs w:val="21"/>
          <w:highlight w:val="none"/>
          <w:lang w:val="en-US" w:eastAsia="zh-CN"/>
        </w:rPr>
      </w:pPr>
      <w:bookmarkStart w:id="95" w:name="_Toc46235134"/>
      <w:bookmarkStart w:id="96" w:name="_Toc1183"/>
      <w:r>
        <w:rPr>
          <w:rFonts w:hint="eastAsia"/>
          <w:b/>
          <w:bCs/>
          <w:szCs w:val="21"/>
          <w:highlight w:val="none"/>
          <w:lang w:val="en-US" w:eastAsia="zh-CN"/>
        </w:rPr>
        <w:t>5.具有良好的商业信誉和健全的财务会计制度的</w:t>
      </w:r>
      <w:bookmarkEnd w:id="95"/>
      <w:r>
        <w:rPr>
          <w:rFonts w:hint="eastAsia"/>
          <w:b/>
          <w:bCs/>
          <w:szCs w:val="21"/>
          <w:highlight w:val="none"/>
          <w:lang w:val="en-US" w:eastAsia="zh-CN"/>
        </w:rPr>
        <w:t>证明文件（参考）</w:t>
      </w:r>
      <w:bookmarkEnd w:id="96"/>
    </w:p>
    <w:p>
      <w:pPr>
        <w:tabs>
          <w:tab w:val="left" w:pos="5580"/>
        </w:tabs>
        <w:spacing w:line="320" w:lineRule="exact"/>
        <w:rPr>
          <w:rFonts w:ascii="宋体" w:hAnsi="宋体" w:cs="宋体"/>
          <w:b/>
          <w:sz w:val="24"/>
          <w:lang w:eastAsia="zh-CN"/>
        </w:rPr>
      </w:pPr>
    </w:p>
    <w:p>
      <w:pPr>
        <w:tabs>
          <w:tab w:val="left" w:pos="5580"/>
        </w:tabs>
        <w:spacing w:line="320" w:lineRule="exact"/>
        <w:ind w:left="1105" w:leftChars="257" w:hanging="540"/>
        <w:rPr>
          <w:rFonts w:ascii="宋体" w:hAnsi="宋体" w:cs="宋体"/>
          <w:sz w:val="24"/>
          <w:lang w:eastAsia="zh-CN"/>
        </w:rPr>
      </w:pPr>
      <w:r>
        <w:rPr>
          <w:rFonts w:hint="eastAsia" w:ascii="宋体" w:hAnsi="宋体" w:cs="宋体"/>
          <w:sz w:val="24"/>
          <w:lang w:eastAsia="zh-CN"/>
        </w:rPr>
        <w:t>说明：</w:t>
      </w:r>
    </w:p>
    <w:p>
      <w:pPr>
        <w:tabs>
          <w:tab w:val="left" w:pos="5580"/>
        </w:tabs>
        <w:spacing w:line="360" w:lineRule="auto"/>
        <w:ind w:firstLine="480" w:firstLineChars="200"/>
        <w:rPr>
          <w:rFonts w:ascii="宋体" w:hAnsi="宋体" w:cs="宋体"/>
          <w:bCs/>
          <w:sz w:val="24"/>
          <w:lang w:eastAsia="zh-CN"/>
        </w:rPr>
      </w:pPr>
      <w:bookmarkStart w:id="97" w:name="_Toc518923111"/>
      <w:r>
        <w:rPr>
          <w:rFonts w:hint="eastAsia" w:ascii="宋体" w:hAnsi="宋体" w:cs="宋体"/>
          <w:sz w:val="24"/>
          <w:lang w:eastAsia="zh-CN"/>
        </w:rPr>
        <w:t>1、如提供本单位上年度经会计师事务所出具的审计报告复印件，须加盖</w:t>
      </w:r>
      <w:r>
        <w:rPr>
          <w:rFonts w:hint="eastAsia" w:ascii="宋体" w:hAnsi="宋体" w:cs="宋体"/>
          <w:bCs/>
          <w:sz w:val="24"/>
          <w:lang w:eastAsia="zh-CN"/>
        </w:rPr>
        <w:t>本单位章。</w:t>
      </w:r>
    </w:p>
    <w:p>
      <w:pPr>
        <w:tabs>
          <w:tab w:val="left" w:pos="5580"/>
        </w:tabs>
        <w:spacing w:line="360" w:lineRule="auto"/>
        <w:ind w:firstLine="480" w:firstLineChars="200"/>
        <w:rPr>
          <w:rFonts w:ascii="宋体" w:hAnsi="宋体" w:cs="宋体"/>
          <w:sz w:val="24"/>
          <w:lang w:eastAsia="zh-CN"/>
        </w:rPr>
      </w:pPr>
      <w:r>
        <w:rPr>
          <w:rFonts w:hint="eastAsia" w:ascii="宋体" w:hAnsi="宋体" w:cs="宋体"/>
          <w:sz w:val="24"/>
          <w:lang w:eastAsia="zh-CN"/>
        </w:rPr>
        <w:t>2、如提供银行出具的证明文件。银行证明文件可提供原件，也可提供银行在开标日前三个月内开具证明文件的复印件。若提供的是复印件，采购人或采购代理机构保留审核原件的权利。银行出具的证明文件应能说明该供应商与银行之间业务往来正常，企业信誉良好等。</w:t>
      </w:r>
    </w:p>
    <w:p>
      <w:pPr>
        <w:tabs>
          <w:tab w:val="left" w:pos="5580"/>
        </w:tabs>
        <w:spacing w:line="360" w:lineRule="auto"/>
        <w:ind w:firstLine="480" w:firstLineChars="200"/>
        <w:rPr>
          <w:rFonts w:ascii="宋体" w:hAnsi="宋体" w:cs="宋体"/>
          <w:sz w:val="24"/>
          <w:lang w:eastAsia="zh-CN"/>
        </w:rPr>
      </w:pPr>
      <w:r>
        <w:rPr>
          <w:rFonts w:hint="eastAsia" w:ascii="宋体" w:hAnsi="宋体" w:cs="宋体"/>
          <w:sz w:val="24"/>
          <w:lang w:eastAsia="zh-CN"/>
        </w:rPr>
        <w:t>3、如果是联合体响应文件，联合体各方均需提供上述证明。</w:t>
      </w:r>
    </w:p>
    <w:p>
      <w:pPr>
        <w:tabs>
          <w:tab w:val="left" w:pos="5580"/>
        </w:tabs>
        <w:spacing w:line="360" w:lineRule="auto"/>
        <w:ind w:firstLine="480" w:firstLineChars="200"/>
        <w:rPr>
          <w:rFonts w:ascii="宋体" w:hAnsi="宋体" w:cs="宋体"/>
          <w:sz w:val="24"/>
          <w:lang w:eastAsia="zh-CN"/>
        </w:rPr>
      </w:pPr>
      <w:r>
        <w:rPr>
          <w:rFonts w:hint="eastAsia" w:ascii="宋体" w:hAnsi="宋体" w:cs="宋体"/>
          <w:sz w:val="24"/>
          <w:lang w:eastAsia="zh-CN"/>
        </w:rPr>
        <w:t>4、如采用合格的磋商（谈判）担保函的，可提供磋商（谈判）担保函复印件替代。</w:t>
      </w:r>
    </w:p>
    <w:p>
      <w:pPr>
        <w:spacing w:line="320" w:lineRule="exact"/>
        <w:ind w:left="482"/>
        <w:rPr>
          <w:rFonts w:ascii="宋体" w:hAnsi="宋体" w:cs="宋体"/>
          <w:sz w:val="24"/>
          <w:lang w:eastAsia="zh-CN"/>
        </w:rPr>
      </w:pPr>
    </w:p>
    <w:p>
      <w:pPr>
        <w:spacing w:line="320" w:lineRule="exact"/>
        <w:ind w:left="482"/>
        <w:rPr>
          <w:rFonts w:ascii="宋体" w:hAnsi="宋体" w:cs="宋体"/>
          <w:sz w:val="24"/>
          <w:lang w:eastAsia="zh-CN"/>
        </w:rPr>
      </w:pPr>
    </w:p>
    <w:p>
      <w:pPr>
        <w:spacing w:line="320" w:lineRule="exact"/>
        <w:rPr>
          <w:rFonts w:ascii="宋体" w:hAnsi="宋体" w:cs="宋体"/>
          <w:sz w:val="24"/>
          <w:lang w:eastAsia="zh-CN"/>
        </w:rPr>
      </w:pPr>
    </w:p>
    <w:p>
      <w:pPr>
        <w:pStyle w:val="2"/>
        <w:rPr>
          <w:rFonts w:ascii="宋体" w:hAnsi="宋体" w:cs="宋体"/>
          <w:sz w:val="24"/>
          <w:lang w:eastAsia="zh-CN"/>
        </w:rPr>
      </w:pPr>
    </w:p>
    <w:p>
      <w:pPr>
        <w:rPr>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firstLine="0" w:firstLineChars="0"/>
        <w:textAlignment w:val="auto"/>
        <w:rPr>
          <w:rFonts w:hint="eastAsia"/>
          <w:b/>
          <w:bCs/>
          <w:szCs w:val="21"/>
          <w:highlight w:val="none"/>
          <w:lang w:val="en-US" w:eastAsia="zh-CN"/>
        </w:rPr>
      </w:pPr>
      <w:bookmarkStart w:id="98" w:name="_Toc46235135"/>
      <w:bookmarkStart w:id="99" w:name="_Toc25018"/>
      <w:r>
        <w:rPr>
          <w:rFonts w:hint="eastAsia"/>
          <w:b/>
          <w:bCs/>
          <w:szCs w:val="21"/>
          <w:highlight w:val="none"/>
          <w:lang w:val="en-US" w:eastAsia="zh-CN"/>
        </w:rPr>
        <w:t>6.依法缴纳社会保障资金和税收的</w:t>
      </w:r>
      <w:bookmarkEnd w:id="98"/>
      <w:r>
        <w:rPr>
          <w:rFonts w:hint="eastAsia"/>
          <w:b/>
          <w:bCs/>
          <w:szCs w:val="21"/>
          <w:highlight w:val="none"/>
          <w:lang w:val="en-US" w:eastAsia="zh-CN"/>
        </w:rPr>
        <w:t>缴纳记录（参考）</w:t>
      </w:r>
      <w:bookmarkEnd w:id="99"/>
    </w:p>
    <w:p>
      <w:pPr>
        <w:tabs>
          <w:tab w:val="left" w:pos="5580"/>
        </w:tabs>
        <w:spacing w:line="320" w:lineRule="exact"/>
        <w:ind w:left="1105" w:leftChars="257" w:hanging="540"/>
        <w:jc w:val="center"/>
        <w:rPr>
          <w:rFonts w:ascii="宋体" w:hAnsi="宋体" w:cs="宋体"/>
          <w:b/>
          <w:sz w:val="24"/>
          <w:szCs w:val="20"/>
          <w:lang w:eastAsia="zh-CN"/>
        </w:rPr>
      </w:pPr>
    </w:p>
    <w:p>
      <w:pPr>
        <w:tabs>
          <w:tab w:val="left" w:pos="5580"/>
        </w:tabs>
        <w:spacing w:line="320" w:lineRule="exact"/>
        <w:ind w:left="2100"/>
        <w:rPr>
          <w:rFonts w:ascii="宋体" w:hAnsi="宋体" w:cs="宋体"/>
          <w:b/>
          <w:sz w:val="24"/>
          <w:szCs w:val="20"/>
          <w:lang w:eastAsia="zh-CN"/>
        </w:rPr>
      </w:pPr>
    </w:p>
    <w:p>
      <w:pPr>
        <w:tabs>
          <w:tab w:val="left" w:pos="5580"/>
        </w:tabs>
        <w:spacing w:line="360" w:lineRule="auto"/>
        <w:ind w:left="1285" w:leftChars="257" w:hanging="720" w:hangingChars="300"/>
        <w:rPr>
          <w:rFonts w:ascii="宋体" w:hAnsi="宋体" w:eastAsia="宋体" w:cs="宋体"/>
          <w:sz w:val="24"/>
          <w:lang w:eastAsia="zh-CN"/>
        </w:rPr>
      </w:pPr>
      <w:r>
        <w:rPr>
          <w:rFonts w:hint="eastAsia" w:ascii="宋体" w:hAnsi="宋体" w:eastAsia="宋体" w:cs="宋体"/>
          <w:sz w:val="24"/>
          <w:lang w:eastAsia="zh-CN"/>
        </w:rPr>
        <w:t>说明：</w:t>
      </w:r>
    </w:p>
    <w:p>
      <w:pPr>
        <w:pStyle w:val="16"/>
        <w:tabs>
          <w:tab w:val="left" w:pos="5580"/>
        </w:tabs>
        <w:spacing w:line="360" w:lineRule="auto"/>
        <w:ind w:left="540"/>
        <w:rPr>
          <w:rFonts w:hAnsi="宋体" w:eastAsia="宋体" w:cs="宋体"/>
          <w:sz w:val="24"/>
          <w:lang w:eastAsia="zh-CN"/>
        </w:rPr>
      </w:pPr>
      <w:r>
        <w:rPr>
          <w:rFonts w:hint="eastAsia" w:hAnsi="宋体" w:eastAsia="宋体" w:cs="宋体"/>
          <w:sz w:val="24"/>
          <w:lang w:eastAsia="zh-CN"/>
        </w:rPr>
        <w:t>1.按照</w:t>
      </w:r>
      <w:r>
        <w:rPr>
          <w:rFonts w:hint="eastAsia" w:hAnsi="宋体" w:eastAsia="宋体" w:cs="宋体"/>
          <w:sz w:val="24"/>
          <w:u w:val="single"/>
          <w:lang w:eastAsia="zh-CN"/>
        </w:rPr>
        <w:t>供应商须知资料表</w:t>
      </w:r>
      <w:r>
        <w:rPr>
          <w:rFonts w:hint="eastAsia" w:hAnsi="宋体" w:eastAsia="宋体" w:cs="宋体"/>
          <w:sz w:val="24"/>
          <w:lang w:eastAsia="zh-CN"/>
        </w:rPr>
        <w:t>中的规定提供复印件。</w:t>
      </w:r>
    </w:p>
    <w:p>
      <w:pPr>
        <w:pStyle w:val="16"/>
        <w:tabs>
          <w:tab w:val="left" w:pos="5580"/>
        </w:tabs>
        <w:spacing w:line="360" w:lineRule="auto"/>
        <w:ind w:left="1105" w:leftChars="257" w:hanging="540"/>
        <w:rPr>
          <w:rFonts w:hAnsi="宋体" w:eastAsia="宋体" w:cs="宋体"/>
          <w:sz w:val="24"/>
          <w:lang w:eastAsia="zh-CN"/>
        </w:rPr>
      </w:pPr>
      <w:r>
        <w:rPr>
          <w:rFonts w:hint="eastAsia" w:hAnsi="宋体" w:eastAsia="宋体" w:cs="宋体"/>
          <w:sz w:val="24"/>
          <w:lang w:eastAsia="zh-CN"/>
        </w:rPr>
        <w:t>2.复印件上应加盖本单位章。</w:t>
      </w:r>
    </w:p>
    <w:p>
      <w:pPr>
        <w:tabs>
          <w:tab w:val="left" w:pos="5580"/>
        </w:tabs>
        <w:spacing w:line="360" w:lineRule="auto"/>
        <w:ind w:left="1105" w:leftChars="257" w:hanging="540"/>
        <w:rPr>
          <w:rFonts w:ascii="宋体" w:hAnsi="宋体" w:eastAsia="宋体" w:cs="宋体"/>
          <w:sz w:val="24"/>
          <w:lang w:eastAsia="zh-CN"/>
        </w:rPr>
      </w:pPr>
      <w:r>
        <w:rPr>
          <w:rFonts w:hint="eastAsia" w:ascii="宋体" w:hAnsi="宋体" w:eastAsia="宋体" w:cs="宋体"/>
          <w:sz w:val="24"/>
          <w:lang w:eastAsia="zh-CN"/>
        </w:rPr>
        <w:t>3.如果是联合体响应文件，联合体各方均需提供上述证明。</w:t>
      </w:r>
    </w:p>
    <w:p>
      <w:pPr>
        <w:spacing w:line="320" w:lineRule="exact"/>
        <w:ind w:left="482"/>
        <w:rPr>
          <w:rFonts w:ascii="宋体" w:hAnsi="宋体" w:cs="宋体"/>
          <w:sz w:val="24"/>
          <w:lang w:eastAsia="zh-CN"/>
        </w:rPr>
      </w:pPr>
    </w:p>
    <w:p>
      <w:pPr>
        <w:spacing w:line="320" w:lineRule="exact"/>
        <w:ind w:left="482"/>
        <w:rPr>
          <w:rFonts w:ascii="宋体" w:hAnsi="宋体" w:cs="宋体"/>
          <w:sz w:val="24"/>
          <w:lang w:eastAsia="zh-CN"/>
        </w:rPr>
      </w:pPr>
    </w:p>
    <w:p>
      <w:pPr>
        <w:tabs>
          <w:tab w:val="left" w:pos="5580"/>
        </w:tabs>
        <w:spacing w:line="320" w:lineRule="exact"/>
        <w:rPr>
          <w:rFonts w:ascii="宋体" w:hAnsi="宋体" w:cs="宋体"/>
          <w:sz w:val="24"/>
          <w:lang w:eastAsia="zh-CN"/>
        </w:rPr>
      </w:pPr>
    </w:p>
    <w:p>
      <w:pPr>
        <w:rPr>
          <w:rFonts w:hint="eastAsia" w:cs="宋体"/>
          <w:lang w:eastAsia="zh-CN"/>
        </w:rPr>
      </w:pPr>
      <w:bookmarkStart w:id="100" w:name="_Toc518923112"/>
      <w:bookmarkStart w:id="101" w:name="_Toc46235136"/>
      <w:bookmarkStart w:id="102" w:name="_Toc30791"/>
      <w:r>
        <w:rPr>
          <w:rFonts w:hint="eastAsia" w:cs="宋体"/>
          <w:lang w:eastAsia="zh-CN"/>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auto"/>
        <w:ind w:left="0" w:firstLine="0" w:firstLineChars="0"/>
        <w:textAlignment w:val="auto"/>
        <w:rPr>
          <w:rFonts w:hint="eastAsia"/>
          <w:b/>
          <w:bCs/>
          <w:szCs w:val="21"/>
          <w:highlight w:val="none"/>
          <w:lang w:val="en-US" w:eastAsia="zh-CN"/>
        </w:rPr>
      </w:pPr>
      <w:r>
        <w:rPr>
          <w:rFonts w:hint="eastAsia"/>
          <w:b/>
          <w:bCs/>
          <w:szCs w:val="21"/>
          <w:highlight w:val="none"/>
          <w:lang w:val="en-US" w:eastAsia="zh-CN"/>
        </w:rPr>
        <w:t>7.参加政府采购活动前3年内</w:t>
      </w:r>
      <w:bookmarkEnd w:id="100"/>
      <w:bookmarkStart w:id="103" w:name="_Toc518923113"/>
      <w:r>
        <w:rPr>
          <w:rFonts w:hint="eastAsia"/>
          <w:b/>
          <w:bCs/>
          <w:szCs w:val="21"/>
          <w:highlight w:val="none"/>
          <w:lang w:val="en-US" w:eastAsia="zh-CN"/>
        </w:rPr>
        <w:t>在经营活动中没有重大违法记录的</w:t>
      </w:r>
      <w:bookmarkEnd w:id="103"/>
      <w:r>
        <w:rPr>
          <w:rFonts w:hint="eastAsia"/>
          <w:b/>
          <w:bCs/>
          <w:szCs w:val="21"/>
          <w:highlight w:val="none"/>
          <w:lang w:val="en-US" w:eastAsia="zh-CN"/>
        </w:rPr>
        <w:t>书面声明</w:t>
      </w:r>
      <w:bookmarkEnd w:id="101"/>
      <w:r>
        <w:rPr>
          <w:rFonts w:hint="eastAsia"/>
          <w:b/>
          <w:bCs/>
          <w:szCs w:val="21"/>
          <w:highlight w:val="none"/>
          <w:lang w:val="en-US" w:eastAsia="zh-CN"/>
        </w:rPr>
        <w:t>（参考）</w:t>
      </w:r>
      <w:bookmarkEnd w:id="102"/>
    </w:p>
    <w:p>
      <w:pPr>
        <w:pStyle w:val="16"/>
        <w:spacing w:line="360" w:lineRule="auto"/>
        <w:ind w:firstLine="480" w:firstLineChars="200"/>
        <w:rPr>
          <w:rFonts w:hAnsi="宋体" w:eastAsia="宋体" w:cs="宋体"/>
          <w:sz w:val="24"/>
          <w:szCs w:val="24"/>
          <w:lang w:eastAsia="zh-CN"/>
        </w:rPr>
      </w:pPr>
      <w:r>
        <w:rPr>
          <w:rFonts w:hint="eastAsia" w:hAnsi="宋体" w:eastAsia="宋体" w:cs="宋体"/>
          <w:sz w:val="24"/>
          <w:szCs w:val="24"/>
          <w:lang w:eastAsia="zh-CN"/>
        </w:rPr>
        <w:t>本单位郑重声明：</w:t>
      </w:r>
    </w:p>
    <w:p>
      <w:pPr>
        <w:pStyle w:val="16"/>
        <w:spacing w:line="360" w:lineRule="auto"/>
        <w:ind w:firstLine="480" w:firstLineChars="200"/>
        <w:rPr>
          <w:rFonts w:hAnsi="宋体" w:eastAsia="宋体" w:cs="宋体"/>
          <w:sz w:val="24"/>
          <w:szCs w:val="24"/>
          <w:lang w:eastAsia="zh-CN"/>
        </w:rPr>
      </w:pPr>
      <w:r>
        <w:rPr>
          <w:rFonts w:hint="eastAsia" w:hAnsi="宋体" w:eastAsia="宋体" w:cs="宋体"/>
          <w:sz w:val="24"/>
          <w:szCs w:val="24"/>
          <w:lang w:eastAsia="zh-CN"/>
        </w:rPr>
        <w:t>我单位在参加采购活动前三年内在经营活动中没有《政府采购法》第二十二条第一款第(五)项所称重大违法记录，包括：</w:t>
      </w:r>
    </w:p>
    <w:p>
      <w:pPr>
        <w:pStyle w:val="16"/>
        <w:spacing w:line="360" w:lineRule="auto"/>
        <w:ind w:firstLine="480" w:firstLineChars="200"/>
        <w:rPr>
          <w:rFonts w:hAnsi="宋体" w:eastAsia="宋体" w:cs="宋体"/>
          <w:sz w:val="24"/>
          <w:szCs w:val="24"/>
          <w:lang w:eastAsia="zh-CN"/>
        </w:rPr>
      </w:pPr>
      <w:r>
        <w:rPr>
          <w:rFonts w:hint="eastAsia" w:hAnsi="宋体" w:eastAsia="宋体" w:cs="宋体"/>
          <w:sz w:val="24"/>
          <w:szCs w:val="24"/>
          <w:lang w:eastAsia="zh-CN"/>
        </w:rPr>
        <w:t>我单位或者其法定代表人、董事、监事、高级管理人员未因经营活动中的违法行为受到刑事处罚或者责令停产停业、吊销许可证或者执照、较大数额罚款等行政处罚。</w:t>
      </w:r>
    </w:p>
    <w:p>
      <w:pPr>
        <w:pStyle w:val="16"/>
        <w:spacing w:line="360" w:lineRule="auto"/>
        <w:ind w:firstLine="480" w:firstLineChars="200"/>
        <w:rPr>
          <w:rFonts w:hAnsi="宋体" w:eastAsia="宋体" w:cs="宋体"/>
          <w:sz w:val="24"/>
          <w:szCs w:val="24"/>
          <w:lang w:eastAsia="zh-CN"/>
        </w:rPr>
      </w:pPr>
      <w:r>
        <w:rPr>
          <w:rFonts w:hint="eastAsia" w:hAnsi="宋体" w:eastAsia="宋体" w:cs="宋体"/>
          <w:sz w:val="24"/>
          <w:szCs w:val="24"/>
          <w:lang w:eastAsia="zh-CN"/>
        </w:rPr>
        <w:t>特此声明！</w:t>
      </w:r>
    </w:p>
    <w:p>
      <w:pPr>
        <w:pStyle w:val="16"/>
        <w:spacing w:line="360" w:lineRule="auto"/>
        <w:ind w:firstLine="480" w:firstLineChars="200"/>
        <w:rPr>
          <w:rFonts w:hAnsi="宋体" w:eastAsia="宋体" w:cs="宋体"/>
          <w:sz w:val="24"/>
          <w:szCs w:val="24"/>
          <w:lang w:eastAsia="zh-CN"/>
        </w:rPr>
      </w:pPr>
    </w:p>
    <w:p>
      <w:pPr>
        <w:pStyle w:val="16"/>
        <w:spacing w:line="360" w:lineRule="auto"/>
        <w:ind w:firstLine="480" w:firstLineChars="200"/>
        <w:rPr>
          <w:rFonts w:hAnsi="宋体" w:eastAsia="宋体" w:cs="宋体"/>
          <w:sz w:val="24"/>
          <w:szCs w:val="24"/>
          <w:lang w:eastAsia="zh-CN"/>
        </w:rPr>
      </w:pPr>
      <w:r>
        <w:rPr>
          <w:rFonts w:hint="eastAsia" w:hAnsi="宋体" w:eastAsia="宋体" w:cs="宋体"/>
          <w:sz w:val="24"/>
          <w:szCs w:val="24"/>
          <w:lang w:eastAsia="zh-CN"/>
        </w:rPr>
        <w:t>供应商名称(公章)：______________</w:t>
      </w:r>
    </w:p>
    <w:p>
      <w:pPr>
        <w:pStyle w:val="16"/>
        <w:spacing w:line="360" w:lineRule="auto"/>
        <w:ind w:firstLine="480" w:firstLineChars="200"/>
        <w:rPr>
          <w:rFonts w:hAnsi="宋体" w:eastAsia="宋体" w:cs="宋体"/>
          <w:sz w:val="24"/>
          <w:szCs w:val="24"/>
          <w:lang w:eastAsia="zh-CN"/>
        </w:rPr>
      </w:pPr>
      <w:r>
        <w:rPr>
          <w:rFonts w:hint="eastAsia" w:hAnsi="宋体" w:eastAsia="宋体" w:cs="宋体"/>
          <w:sz w:val="24"/>
          <w:szCs w:val="24"/>
          <w:lang w:eastAsia="zh-CN"/>
        </w:rPr>
        <w:t>法定代表人或负责人或其授权代表(签字或盖章)：______________</w:t>
      </w:r>
    </w:p>
    <w:p>
      <w:pPr>
        <w:pStyle w:val="16"/>
        <w:spacing w:line="360" w:lineRule="auto"/>
        <w:ind w:firstLine="480" w:firstLineChars="200"/>
        <w:rPr>
          <w:rFonts w:hAnsi="宋体" w:eastAsia="宋体" w:cs="宋体"/>
          <w:sz w:val="24"/>
          <w:szCs w:val="24"/>
          <w:lang w:eastAsia="zh-CN"/>
        </w:rPr>
      </w:pPr>
      <w:r>
        <w:rPr>
          <w:rFonts w:hint="eastAsia" w:hAnsi="宋体" w:eastAsia="宋体" w:cs="宋体"/>
          <w:sz w:val="24"/>
          <w:szCs w:val="24"/>
          <w:lang w:eastAsia="zh-CN"/>
        </w:rPr>
        <w:t>日期：______年____月____日</w:t>
      </w:r>
    </w:p>
    <w:p>
      <w:pPr>
        <w:pStyle w:val="16"/>
        <w:spacing w:line="360" w:lineRule="auto"/>
        <w:ind w:firstLine="480" w:firstLineChars="200"/>
        <w:rPr>
          <w:rFonts w:hAnsi="宋体" w:eastAsia="宋体" w:cs="宋体"/>
          <w:sz w:val="24"/>
          <w:szCs w:val="24"/>
          <w:lang w:eastAsia="zh-CN"/>
        </w:rPr>
      </w:pPr>
    </w:p>
    <w:p>
      <w:pPr>
        <w:tabs>
          <w:tab w:val="left" w:pos="5580"/>
        </w:tabs>
        <w:spacing w:line="360" w:lineRule="auto"/>
        <w:ind w:left="1105" w:leftChars="257" w:hanging="540"/>
        <w:rPr>
          <w:rFonts w:ascii="宋体" w:hAnsi="宋体" w:eastAsia="宋体" w:cs="宋体"/>
          <w:sz w:val="24"/>
          <w:szCs w:val="24"/>
          <w:lang w:eastAsia="zh-CN"/>
        </w:rPr>
      </w:pPr>
    </w:p>
    <w:p>
      <w:pPr>
        <w:tabs>
          <w:tab w:val="left" w:pos="5580"/>
        </w:tabs>
        <w:spacing w:line="360" w:lineRule="auto"/>
        <w:ind w:left="1105" w:leftChars="257" w:hanging="540"/>
        <w:rPr>
          <w:rFonts w:ascii="宋体" w:hAnsi="宋体" w:eastAsia="宋体" w:cs="宋体"/>
          <w:sz w:val="24"/>
          <w:szCs w:val="24"/>
          <w:lang w:eastAsia="zh-CN"/>
        </w:rPr>
      </w:pPr>
    </w:p>
    <w:p>
      <w:pPr>
        <w:tabs>
          <w:tab w:val="left" w:pos="5580"/>
        </w:tabs>
        <w:spacing w:line="360" w:lineRule="auto"/>
        <w:ind w:left="1105" w:leftChars="257" w:hanging="540"/>
        <w:rPr>
          <w:rFonts w:ascii="宋体" w:hAnsi="宋体" w:eastAsia="宋体" w:cs="宋体"/>
          <w:sz w:val="24"/>
          <w:szCs w:val="24"/>
          <w:lang w:eastAsia="zh-CN"/>
        </w:rPr>
      </w:pPr>
      <w:r>
        <w:rPr>
          <w:rFonts w:hint="eastAsia" w:ascii="宋体" w:hAnsi="宋体" w:eastAsia="宋体" w:cs="宋体"/>
          <w:sz w:val="24"/>
          <w:szCs w:val="24"/>
          <w:lang w:eastAsia="zh-CN"/>
        </w:rPr>
        <w:t>说明：1供应商应按照相关法规规定如实作出说明。</w:t>
      </w:r>
    </w:p>
    <w:p>
      <w:pPr>
        <w:pStyle w:val="16"/>
        <w:tabs>
          <w:tab w:val="left" w:pos="5580"/>
        </w:tabs>
        <w:spacing w:line="360" w:lineRule="auto"/>
        <w:ind w:left="675" w:leftChars="307" w:firstLine="600" w:firstLineChars="250"/>
        <w:rPr>
          <w:rFonts w:hAnsi="宋体" w:eastAsia="宋体" w:cs="宋体"/>
          <w:sz w:val="24"/>
          <w:szCs w:val="24"/>
          <w:lang w:eastAsia="zh-CN"/>
        </w:rPr>
      </w:pPr>
      <w:r>
        <w:rPr>
          <w:rFonts w:hint="eastAsia" w:hAnsi="宋体" w:eastAsia="宋体" w:cs="宋体"/>
          <w:sz w:val="24"/>
          <w:szCs w:val="24"/>
          <w:lang w:eastAsia="zh-CN"/>
        </w:rPr>
        <w:t>2．按照磋商（谈判）文件的规定加盖本单位章（自然人投标的无需盖章，需要签字）。</w:t>
      </w:r>
    </w:p>
    <w:p>
      <w:pPr>
        <w:tabs>
          <w:tab w:val="left" w:pos="5580"/>
        </w:tabs>
        <w:spacing w:line="360" w:lineRule="auto"/>
        <w:ind w:left="1105" w:leftChars="257" w:hanging="540"/>
        <w:rPr>
          <w:rFonts w:ascii="宋体" w:hAnsi="宋体" w:cs="宋体"/>
          <w:sz w:val="24"/>
          <w:szCs w:val="20"/>
          <w:lang w:eastAsia="zh-CN"/>
        </w:rPr>
      </w:pPr>
      <w:r>
        <w:rPr>
          <w:rFonts w:hint="eastAsia" w:ascii="宋体" w:hAnsi="宋体" w:eastAsia="宋体" w:cs="宋体"/>
          <w:sz w:val="24"/>
          <w:szCs w:val="24"/>
          <w:lang w:eastAsia="zh-CN"/>
        </w:rPr>
        <w:t xml:space="preserve">      3.如果是联合体响应文件，联合体各方均需提供上述证明。</w:t>
      </w:r>
    </w:p>
    <w:p>
      <w:pPr>
        <w:tabs>
          <w:tab w:val="left" w:pos="5580"/>
        </w:tabs>
        <w:spacing w:line="320" w:lineRule="exact"/>
        <w:ind w:left="1105" w:leftChars="257" w:hanging="540"/>
        <w:rPr>
          <w:rFonts w:ascii="宋体" w:hAnsi="宋体" w:cs="宋体"/>
          <w:sz w:val="24"/>
          <w:szCs w:val="20"/>
          <w:lang w:eastAsia="zh-CN"/>
        </w:rPr>
      </w:pPr>
    </w:p>
    <w:p>
      <w:pPr>
        <w:tabs>
          <w:tab w:val="left" w:pos="5580"/>
        </w:tabs>
        <w:spacing w:line="320" w:lineRule="exact"/>
        <w:ind w:left="1105" w:leftChars="257" w:hanging="540"/>
        <w:rPr>
          <w:rFonts w:ascii="宋体" w:hAnsi="宋体" w:cs="宋体"/>
          <w:sz w:val="24"/>
          <w:szCs w:val="20"/>
          <w:lang w:eastAsia="zh-CN"/>
        </w:rPr>
      </w:pPr>
      <w:bookmarkStart w:id="104" w:name="_Toc518923114"/>
    </w:p>
    <w:p>
      <w:pPr>
        <w:pStyle w:val="2"/>
        <w:keepNext w:val="0"/>
        <w:keepLines w:val="0"/>
        <w:pageBreakBefore w:val="0"/>
        <w:widowControl w:val="0"/>
        <w:kinsoku/>
        <w:wordWrap/>
        <w:overflowPunct/>
        <w:topLinePunct w:val="0"/>
        <w:autoSpaceDE/>
        <w:autoSpaceDN/>
        <w:bidi w:val="0"/>
        <w:adjustRightInd/>
        <w:snapToGrid/>
        <w:spacing w:before="0" w:line="360" w:lineRule="auto"/>
        <w:ind w:left="0" w:firstLine="0" w:firstLineChars="0"/>
        <w:textAlignment w:val="auto"/>
        <w:rPr>
          <w:rFonts w:hint="eastAsia"/>
          <w:b/>
          <w:bCs/>
          <w:szCs w:val="21"/>
          <w:highlight w:val="none"/>
          <w:lang w:val="en-US" w:eastAsia="zh-CN"/>
        </w:rPr>
      </w:pPr>
      <w:bookmarkStart w:id="105" w:name="_Toc46235137"/>
      <w:bookmarkStart w:id="106" w:name="_Toc8309"/>
      <w:r>
        <w:rPr>
          <w:rFonts w:hint="eastAsia"/>
          <w:b/>
          <w:bCs/>
          <w:szCs w:val="21"/>
          <w:highlight w:val="none"/>
          <w:lang w:val="en-US" w:eastAsia="zh-CN"/>
        </w:rPr>
        <w:t>8.响应文件须知资料表要求的其他资格证明文件</w:t>
      </w:r>
      <w:bookmarkEnd w:id="104"/>
      <w:bookmarkEnd w:id="105"/>
      <w:r>
        <w:rPr>
          <w:rFonts w:hint="eastAsia"/>
          <w:b/>
          <w:bCs/>
          <w:szCs w:val="21"/>
          <w:highlight w:val="none"/>
          <w:lang w:val="en-US" w:eastAsia="zh-CN"/>
        </w:rPr>
        <w:t>（参考）</w:t>
      </w:r>
      <w:bookmarkEnd w:id="106"/>
    </w:p>
    <w:p>
      <w:pPr>
        <w:spacing w:line="320" w:lineRule="exact"/>
        <w:ind w:left="1105" w:leftChars="257" w:hanging="540"/>
        <w:jc w:val="center"/>
        <w:rPr>
          <w:rFonts w:ascii="宋体" w:hAnsi="宋体" w:cs="宋体"/>
          <w:b/>
          <w:bCs/>
          <w:sz w:val="24"/>
          <w:lang w:eastAsia="zh-CN"/>
        </w:rPr>
      </w:pPr>
    </w:p>
    <w:p>
      <w:pPr>
        <w:spacing w:line="320" w:lineRule="exact"/>
        <w:ind w:left="1105" w:leftChars="257" w:hanging="540"/>
        <w:jc w:val="center"/>
        <w:rPr>
          <w:rFonts w:ascii="宋体" w:hAnsi="宋体" w:cs="宋体"/>
          <w:b/>
          <w:bCs/>
          <w:sz w:val="24"/>
          <w:lang w:eastAsia="zh-CN"/>
        </w:rPr>
      </w:pPr>
    </w:p>
    <w:p>
      <w:pPr>
        <w:tabs>
          <w:tab w:val="left" w:pos="5580"/>
        </w:tabs>
        <w:spacing w:line="320" w:lineRule="exact"/>
        <w:ind w:left="1105" w:leftChars="257" w:hanging="540"/>
        <w:rPr>
          <w:rFonts w:ascii="宋体" w:hAnsi="宋体" w:cs="宋体"/>
          <w:sz w:val="24"/>
          <w:szCs w:val="20"/>
          <w:lang w:eastAsia="zh-CN"/>
        </w:rPr>
      </w:pPr>
      <w:r>
        <w:rPr>
          <w:rFonts w:hint="eastAsia" w:ascii="宋体" w:hAnsi="宋体" w:cs="宋体"/>
          <w:sz w:val="24"/>
          <w:szCs w:val="20"/>
          <w:lang w:eastAsia="zh-CN"/>
        </w:rPr>
        <w:t>说明：1.应提供</w:t>
      </w:r>
      <w:r>
        <w:rPr>
          <w:rFonts w:hint="eastAsia" w:ascii="宋体" w:hAnsi="宋体" w:cs="宋体"/>
          <w:sz w:val="24"/>
          <w:szCs w:val="20"/>
          <w:u w:val="single"/>
          <w:lang w:eastAsia="zh-CN"/>
        </w:rPr>
        <w:t>供应商须知资料表</w:t>
      </w:r>
      <w:r>
        <w:rPr>
          <w:rFonts w:hint="eastAsia" w:ascii="宋体" w:hAnsi="宋体" w:cs="宋体"/>
          <w:sz w:val="24"/>
          <w:szCs w:val="20"/>
          <w:lang w:eastAsia="zh-CN"/>
        </w:rPr>
        <w:t>要求的其他资格证明文件复印件，复印件上应加盖本单位章（自然人投标的无需盖章，需要签字）。</w:t>
      </w:r>
    </w:p>
    <w:p>
      <w:pPr>
        <w:tabs>
          <w:tab w:val="left" w:pos="5580"/>
        </w:tabs>
        <w:spacing w:line="320" w:lineRule="exact"/>
        <w:ind w:left="1294" w:leftChars="344" w:hanging="538"/>
        <w:rPr>
          <w:rFonts w:ascii="宋体" w:hAnsi="宋体" w:cs="宋体"/>
          <w:sz w:val="24"/>
          <w:szCs w:val="20"/>
          <w:lang w:eastAsia="zh-CN"/>
        </w:rPr>
      </w:pPr>
      <w:r>
        <w:rPr>
          <w:rFonts w:hint="eastAsia" w:ascii="宋体" w:hAnsi="宋体" w:cs="宋体"/>
          <w:sz w:val="24"/>
          <w:szCs w:val="20"/>
          <w:lang w:eastAsia="zh-CN"/>
        </w:rPr>
        <w:t xml:space="preserve">    2. 如果是联合体响应文件，联合体各方需提供的满足竞争性磋商（谈判）文件要求的其他资格证明文件。</w:t>
      </w:r>
      <w:bookmarkEnd w:id="97"/>
      <w:bookmarkStart w:id="107" w:name="_Toc518923115"/>
    </w:p>
    <w:p>
      <w:pPr>
        <w:tabs>
          <w:tab w:val="left" w:pos="5580"/>
        </w:tabs>
        <w:spacing w:line="320" w:lineRule="exact"/>
        <w:ind w:left="1294" w:leftChars="344" w:hanging="538"/>
        <w:rPr>
          <w:rFonts w:ascii="宋体" w:hAnsi="宋体" w:cs="宋体"/>
          <w:sz w:val="24"/>
          <w:szCs w:val="20"/>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firstLine="0" w:firstLineChars="0"/>
        <w:textAlignment w:val="auto"/>
        <w:rPr>
          <w:rFonts w:hint="eastAsia"/>
          <w:b w:val="0"/>
          <w:bCs w:val="0"/>
          <w:szCs w:val="21"/>
          <w:highlight w:val="none"/>
          <w:lang w:val="en-US" w:eastAsia="zh-CN"/>
        </w:rPr>
      </w:pPr>
      <w:bookmarkStart w:id="108" w:name="_Toc17438"/>
      <w:bookmarkStart w:id="109" w:name="_Toc46235138"/>
      <w:r>
        <w:rPr>
          <w:rFonts w:hint="eastAsia"/>
          <w:b w:val="0"/>
          <w:bCs w:val="0"/>
          <w:szCs w:val="21"/>
          <w:highlight w:val="none"/>
          <w:lang w:val="en-US" w:eastAsia="zh-CN"/>
        </w:rPr>
        <w:t>9.联合体协议书</w:t>
      </w:r>
      <w:bookmarkEnd w:id="108"/>
      <w:bookmarkEnd w:id="109"/>
      <w:r>
        <w:rPr>
          <w:rFonts w:hint="eastAsia"/>
          <w:b w:val="0"/>
          <w:bCs w:val="0"/>
          <w:szCs w:val="21"/>
          <w:highlight w:val="none"/>
          <w:lang w:val="en-US" w:eastAsia="zh-CN"/>
        </w:rPr>
        <w:t>（本项目不适用）</w:t>
      </w:r>
    </w:p>
    <w:p>
      <w:pPr>
        <w:tabs>
          <w:tab w:val="left" w:pos="5580"/>
        </w:tabs>
        <w:spacing w:line="320" w:lineRule="exact"/>
        <w:ind w:left="1294" w:leftChars="344" w:hanging="538"/>
        <w:rPr>
          <w:rFonts w:ascii="宋体" w:hAnsi="宋体" w:cs="宋体"/>
          <w:sz w:val="24"/>
          <w:szCs w:val="20"/>
          <w:lang w:eastAsia="zh-CN"/>
        </w:rPr>
      </w:pPr>
      <w:r>
        <w:rPr>
          <w:rFonts w:hint="eastAsia" w:ascii="宋体" w:hAnsi="宋体" w:cs="宋体"/>
          <w:sz w:val="24"/>
          <w:szCs w:val="20"/>
          <w:lang w:eastAsia="zh-CN"/>
        </w:rPr>
        <w:br w:type="page"/>
      </w:r>
    </w:p>
    <w:p>
      <w:pPr>
        <w:pStyle w:val="5"/>
        <w:ind w:left="826" w:hanging="822" w:hangingChars="257"/>
        <w:rPr>
          <w:rFonts w:ascii="宋体" w:hAnsi="宋体" w:cs="宋体"/>
          <w:sz w:val="24"/>
          <w:szCs w:val="20"/>
          <w:lang w:eastAsia="zh-CN"/>
        </w:rPr>
      </w:pPr>
      <w:bookmarkStart w:id="110" w:name="_Toc9592"/>
      <w:bookmarkStart w:id="111" w:name="_Toc46235139"/>
      <w:r>
        <w:rPr>
          <w:rFonts w:hint="eastAsia" w:cs="宋体"/>
          <w:lang w:eastAsia="zh-CN"/>
        </w:rPr>
        <w:t>四、  商务及技术文件</w:t>
      </w:r>
      <w:bookmarkEnd w:id="107"/>
      <w:bookmarkEnd w:id="110"/>
      <w:bookmarkEnd w:id="111"/>
    </w:p>
    <w:p>
      <w:pPr>
        <w:spacing w:line="480" w:lineRule="exact"/>
        <w:jc w:val="center"/>
        <w:rPr>
          <w:rFonts w:ascii="宋体" w:hAnsi="宋体" w:cs="宋体"/>
          <w:b/>
          <w:kern w:val="1"/>
          <w:sz w:val="32"/>
          <w:szCs w:val="32"/>
        </w:rPr>
      </w:pPr>
      <w:bookmarkStart w:id="112" w:name="_Toc31129"/>
      <w:bookmarkStart w:id="113" w:name="_Toc518923116"/>
      <w:bookmarkStart w:id="114" w:name="_Toc46235140"/>
      <w:r>
        <w:rPr>
          <w:rFonts w:hint="eastAsia" w:ascii="宋体" w:hAnsi="宋体" w:cs="宋体"/>
          <w:b/>
          <w:kern w:val="1"/>
          <w:sz w:val="32"/>
          <w:szCs w:val="32"/>
          <w:lang w:eastAsia="zh-CN"/>
        </w:rPr>
        <w:t>10</w:t>
      </w:r>
      <w:bookmarkStart w:id="115" w:name="_Hlt520355504"/>
      <w:bookmarkEnd w:id="115"/>
      <w:r>
        <w:rPr>
          <w:rFonts w:hint="eastAsia" w:ascii="宋体" w:hAnsi="宋体" w:cs="宋体"/>
          <w:b/>
          <w:kern w:val="1"/>
          <w:sz w:val="32"/>
          <w:szCs w:val="32"/>
          <w:lang w:eastAsia="zh-CN"/>
        </w:rPr>
        <w:t>.</w:t>
      </w:r>
      <w:bookmarkEnd w:id="79"/>
      <w:bookmarkEnd w:id="80"/>
      <w:bookmarkEnd w:id="81"/>
      <w:bookmarkEnd w:id="82"/>
      <w:bookmarkEnd w:id="112"/>
      <w:bookmarkEnd w:id="113"/>
      <w:bookmarkEnd w:id="114"/>
      <w:r>
        <w:rPr>
          <w:rFonts w:ascii="宋体" w:hAnsi="宋体" w:cs="宋体"/>
          <w:b/>
          <w:kern w:val="1"/>
          <w:sz w:val="32"/>
          <w:szCs w:val="32"/>
        </w:rPr>
        <w:t>投 标 函</w:t>
      </w:r>
    </w:p>
    <w:p>
      <w:pPr>
        <w:spacing w:line="480" w:lineRule="exact"/>
        <w:jc w:val="left"/>
        <w:rPr>
          <w:rFonts w:hint="eastAsia" w:ascii="宋体" w:hAnsi="宋体" w:eastAsia="宋体" w:cs="宋体"/>
          <w:kern w:val="1"/>
          <w:sz w:val="24"/>
          <w:szCs w:val="24"/>
        </w:rPr>
      </w:pPr>
      <w:r>
        <w:rPr>
          <w:rFonts w:hint="eastAsia" w:ascii="宋体" w:hAnsi="宋体" w:eastAsia="宋体" w:cs="宋体"/>
          <w:kern w:val="1"/>
          <w:sz w:val="24"/>
          <w:szCs w:val="24"/>
          <w:u w:val="single"/>
          <w:lang w:eastAsia="zh-CN"/>
        </w:rPr>
        <w:t>临沂正旭建设项目管理有限公司</w:t>
      </w:r>
      <w:r>
        <w:rPr>
          <w:rFonts w:hint="eastAsia" w:ascii="宋体" w:hAnsi="宋体" w:eastAsia="宋体" w:cs="宋体"/>
          <w:kern w:val="1"/>
          <w:sz w:val="24"/>
          <w:szCs w:val="24"/>
        </w:rPr>
        <w:t>：</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经研究，我方决定参加</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项目（项目编号</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）的</w:t>
      </w:r>
      <w:r>
        <w:rPr>
          <w:rFonts w:hint="eastAsia" w:ascii="宋体" w:hAnsi="宋体" w:eastAsia="宋体" w:cs="宋体"/>
          <w:kern w:val="1"/>
          <w:sz w:val="24"/>
          <w:szCs w:val="24"/>
          <w:lang w:eastAsia="zh-CN"/>
        </w:rPr>
        <w:t>竞争性磋商</w:t>
      </w:r>
      <w:r>
        <w:rPr>
          <w:rFonts w:hint="eastAsia" w:ascii="宋体" w:hAnsi="宋体" w:eastAsia="宋体" w:cs="宋体"/>
          <w:kern w:val="1"/>
          <w:sz w:val="24"/>
          <w:szCs w:val="24"/>
        </w:rPr>
        <w:t>招标活动并提交响应文件。为此，我方郑重声明以下诸点，并负法律责任：</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1.我方完全理解和接受磋商文件的一切规定和要求，按规定提交响应文件数量。</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2.如果我方的响应文件被接受，我方将履行磋商文件中规定的每一项要求，并按我方响应文件中的承诺，保证按期完成项目的实施。</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3.我方理解，最低报价不是成交的唯一条件，你们有选择成交人的权利。</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4.我方愿按《中华人民共和国合同法》履行自己的全部责任。</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lang w:val="en-US" w:eastAsia="zh-CN"/>
        </w:rPr>
        <w:t>5</w:t>
      </w:r>
      <w:r>
        <w:rPr>
          <w:rFonts w:hint="eastAsia" w:ascii="宋体" w:hAnsi="宋体" w:eastAsia="宋体" w:cs="宋体"/>
          <w:kern w:val="1"/>
          <w:sz w:val="24"/>
          <w:szCs w:val="24"/>
        </w:rPr>
        <w:t>.我方响应文件的有效期为投标截止时间起90</w:t>
      </w:r>
      <w:r>
        <w:rPr>
          <w:rFonts w:hint="eastAsia" w:ascii="宋体" w:hAnsi="宋体" w:eastAsia="宋体" w:cs="宋体"/>
          <w:kern w:val="1"/>
          <w:sz w:val="24"/>
          <w:szCs w:val="24"/>
          <w:lang w:val="en-US" w:eastAsia="zh-CN"/>
        </w:rPr>
        <w:t>日历日</w:t>
      </w:r>
      <w:r>
        <w:rPr>
          <w:rFonts w:hint="eastAsia" w:ascii="宋体" w:hAnsi="宋体" w:eastAsia="宋体" w:cs="宋体"/>
          <w:kern w:val="1"/>
          <w:sz w:val="24"/>
          <w:szCs w:val="24"/>
        </w:rPr>
        <w:t>日。</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lang w:val="en-US" w:eastAsia="zh-CN"/>
        </w:rPr>
        <w:t>6</w:t>
      </w:r>
      <w:r>
        <w:rPr>
          <w:rFonts w:hint="eastAsia" w:ascii="宋体" w:hAnsi="宋体" w:eastAsia="宋体" w:cs="宋体"/>
          <w:kern w:val="1"/>
          <w:sz w:val="24"/>
          <w:szCs w:val="24"/>
        </w:rPr>
        <w:t>.我方若未成为成交人，贵机构有权不做任何解释。</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lang w:val="en-US" w:eastAsia="zh-CN"/>
        </w:rPr>
        <w:t>7</w:t>
      </w:r>
      <w:r>
        <w:rPr>
          <w:rFonts w:hint="eastAsia" w:ascii="宋体" w:hAnsi="宋体" w:eastAsia="宋体" w:cs="宋体"/>
          <w:kern w:val="1"/>
          <w:sz w:val="24"/>
          <w:szCs w:val="24"/>
        </w:rPr>
        <w:t>.我方与本此投标有关的一切正式往来通讯请寄：</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地    址：</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邮政编号：</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电    话：</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传    真：</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开户单位：</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开户银行：</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账    号：</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供应商全权代表姓名、职务：</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供应商全称（公章）：</w:t>
      </w:r>
    </w:p>
    <w:p>
      <w:pPr>
        <w:spacing w:line="48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法定代表人</w:t>
      </w:r>
      <w:r>
        <w:rPr>
          <w:rFonts w:hint="eastAsia" w:ascii="宋体" w:hAnsi="宋体" w:eastAsia="宋体" w:cs="宋体"/>
          <w:kern w:val="1"/>
          <w:sz w:val="24"/>
          <w:szCs w:val="24"/>
          <w:lang w:eastAsia="zh-CN"/>
        </w:rPr>
        <w:t>（</w:t>
      </w:r>
      <w:r>
        <w:rPr>
          <w:rFonts w:hint="eastAsia" w:ascii="宋体" w:hAnsi="宋体" w:eastAsia="宋体" w:cs="宋体"/>
          <w:kern w:val="1"/>
          <w:sz w:val="24"/>
          <w:szCs w:val="24"/>
          <w:lang w:val="en-US" w:eastAsia="zh-CN"/>
        </w:rPr>
        <w:t>签章</w:t>
      </w:r>
      <w:r>
        <w:rPr>
          <w:rFonts w:hint="eastAsia" w:ascii="宋体" w:hAnsi="宋体" w:eastAsia="宋体" w:cs="宋体"/>
          <w:kern w:val="1"/>
          <w:sz w:val="24"/>
          <w:szCs w:val="24"/>
          <w:lang w:eastAsia="zh-CN"/>
        </w:rPr>
        <w:t>）</w:t>
      </w:r>
      <w:r>
        <w:rPr>
          <w:rFonts w:hint="eastAsia" w:ascii="宋体" w:hAnsi="宋体" w:eastAsia="宋体" w:cs="宋体"/>
          <w:kern w:val="1"/>
          <w:sz w:val="24"/>
          <w:szCs w:val="24"/>
        </w:rPr>
        <w:t>：</w:t>
      </w:r>
    </w:p>
    <w:p>
      <w:pPr>
        <w:spacing w:line="480" w:lineRule="exact"/>
        <w:ind w:firstLine="480"/>
        <w:jc w:val="center"/>
        <w:rPr>
          <w:rFonts w:hint="eastAsia" w:ascii="宋体" w:hAnsi="宋体" w:eastAsia="宋体" w:cs="宋体"/>
          <w:sz w:val="24"/>
          <w:szCs w:val="24"/>
          <w:lang w:eastAsia="zh-CN"/>
        </w:rPr>
      </w:pP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年  月  日</w:t>
      </w:r>
    </w:p>
    <w:p>
      <w:pPr>
        <w:pStyle w:val="6"/>
        <w:rPr>
          <w:rFonts w:cs="宋体"/>
          <w:lang w:eastAsia="zh-CN"/>
        </w:rPr>
      </w:pPr>
      <w:bookmarkStart w:id="116" w:name="_Hlt520355938"/>
      <w:bookmarkEnd w:id="116"/>
      <w:bookmarkStart w:id="117" w:name="_Hlt520356243"/>
      <w:bookmarkEnd w:id="117"/>
      <w:bookmarkStart w:id="118" w:name="_Toc216582815"/>
      <w:r>
        <w:rPr>
          <w:rFonts w:hint="eastAsia" w:cs="宋体"/>
          <w:sz w:val="30"/>
          <w:lang w:eastAsia="zh-CN"/>
        </w:rPr>
        <w:br w:type="page"/>
      </w:r>
      <w:bookmarkStart w:id="119" w:name="_Toc46235141"/>
      <w:bookmarkStart w:id="120" w:name="_Toc15640"/>
      <w:bookmarkStart w:id="121" w:name="_Toc45562518"/>
      <w:bookmarkStart w:id="122" w:name="_Toc216582818"/>
      <w:bookmarkStart w:id="123" w:name="_Toc518923119"/>
      <w:r>
        <w:rPr>
          <w:rFonts w:hint="eastAsia" w:cs="宋体"/>
          <w:lang w:eastAsia="zh-CN"/>
        </w:rPr>
        <w:t>11.符合价格扣除条件的供应商需提供的资料</w:t>
      </w:r>
      <w:bookmarkEnd w:id="119"/>
      <w:bookmarkEnd w:id="120"/>
      <w:bookmarkEnd w:id="121"/>
    </w:p>
    <w:p>
      <w:pPr>
        <w:spacing w:line="320" w:lineRule="exact"/>
        <w:rPr>
          <w:rFonts w:ascii="宋体" w:hAnsi="宋体" w:cs="宋体"/>
          <w:b/>
          <w:sz w:val="24"/>
          <w:szCs w:val="20"/>
          <w:lang w:eastAsia="zh-CN"/>
        </w:rPr>
      </w:pPr>
    </w:p>
    <w:bookmarkEnd w:id="122"/>
    <w:bookmarkEnd w:id="123"/>
    <w:p>
      <w:pPr>
        <w:jc w:val="center"/>
        <w:rPr>
          <w:rFonts w:ascii="宋体" w:hAnsi="宋体" w:cs="宋体"/>
          <w:b/>
          <w:sz w:val="24"/>
          <w:szCs w:val="20"/>
          <w:lang w:eastAsia="zh-CN"/>
        </w:rPr>
      </w:pPr>
      <w:bookmarkStart w:id="124" w:name="_Toc518923120"/>
      <w:r>
        <w:rPr>
          <w:rFonts w:hint="eastAsia" w:ascii="宋体" w:hAnsi="宋体" w:cs="宋体"/>
          <w:b/>
          <w:sz w:val="24"/>
          <w:szCs w:val="20"/>
          <w:lang w:eastAsia="zh-CN"/>
        </w:rPr>
        <w:t>11.1供应商企业（单位）类型声明函</w:t>
      </w:r>
      <w:bookmarkEnd w:id="124"/>
    </w:p>
    <w:p>
      <w:pPr>
        <w:widowControl/>
        <w:spacing w:before="100" w:beforeAutospacing="1" w:after="100" w:afterAutospacing="1" w:line="320" w:lineRule="exact"/>
        <w:ind w:firstLine="480" w:firstLineChars="200"/>
        <w:rPr>
          <w:rFonts w:ascii="宋体" w:hAnsi="宋体" w:cs="宋体"/>
          <w:sz w:val="24"/>
          <w:lang w:eastAsia="zh-CN"/>
        </w:rPr>
      </w:pPr>
      <w:r>
        <w:rPr>
          <w:rFonts w:hint="eastAsia" w:ascii="宋体" w:hAnsi="宋体" w:cs="宋体"/>
          <w:sz w:val="24"/>
          <w:lang w:eastAsia="zh-CN"/>
        </w:rPr>
        <w:t>本企业（单位）郑重声明下列事项（按照实际情况勾选或填空）：</w:t>
      </w:r>
    </w:p>
    <w:p>
      <w:pPr>
        <w:widowControl/>
        <w:spacing w:before="100" w:beforeAutospacing="1" w:after="100" w:afterAutospacing="1" w:line="320" w:lineRule="exact"/>
        <w:ind w:firstLine="420"/>
        <w:rPr>
          <w:rFonts w:ascii="宋体" w:hAnsi="宋体" w:cs="宋体"/>
          <w:sz w:val="24"/>
          <w:lang w:eastAsia="zh-CN"/>
        </w:rPr>
      </w:pPr>
      <w:r>
        <w:rPr>
          <w:rFonts w:hint="eastAsia" w:ascii="宋体" w:hAnsi="宋体" w:cs="宋体"/>
          <w:sz w:val="24"/>
          <w:lang w:eastAsia="zh-CN"/>
        </w:rPr>
        <w:t>1、□本企业（单位）为直接供应商，提供本企业（单位）服务。</w:t>
      </w:r>
    </w:p>
    <w:p>
      <w:pPr>
        <w:widowControl/>
        <w:spacing w:before="100" w:beforeAutospacing="1" w:after="100" w:afterAutospacing="1" w:line="320" w:lineRule="exact"/>
        <w:ind w:firstLine="240" w:firstLineChars="100"/>
        <w:rPr>
          <w:rFonts w:ascii="宋体" w:hAnsi="宋体" w:cs="宋体"/>
          <w:sz w:val="24"/>
          <w:lang w:eastAsia="zh-CN"/>
        </w:rPr>
      </w:pPr>
      <w:r>
        <w:rPr>
          <w:rFonts w:hint="eastAsia" w:ascii="宋体" w:hAnsi="宋体" w:cs="宋体"/>
          <w:sz w:val="24"/>
          <w:lang w:eastAsia="zh-CN"/>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20" w:lineRule="exact"/>
        <w:ind w:firstLine="420"/>
        <w:rPr>
          <w:rFonts w:ascii="宋体" w:hAnsi="宋体" w:cs="宋体"/>
          <w:sz w:val="24"/>
          <w:lang w:eastAsia="zh-CN"/>
        </w:rPr>
      </w:pPr>
      <w:r>
        <w:rPr>
          <w:rFonts w:hint="eastAsia" w:ascii="宋体" w:hAnsi="宋体" w:cs="宋体"/>
          <w:sz w:val="24"/>
          <w:lang w:eastAsia="zh-CN"/>
        </w:rPr>
        <w:t>（2）本企业（请填写：是、不是）监狱企业。后附省级以上监狱管理局、戒毒管理局（含新疆生产建设兵团）出具的属于监狱企业的证明文件。</w:t>
      </w:r>
    </w:p>
    <w:p>
      <w:pPr>
        <w:widowControl/>
        <w:spacing w:before="100" w:beforeAutospacing="1" w:after="100" w:afterAutospacing="1" w:line="320" w:lineRule="exact"/>
        <w:ind w:firstLine="420"/>
        <w:rPr>
          <w:rFonts w:ascii="宋体" w:hAnsi="宋体" w:cs="宋体"/>
          <w:sz w:val="24"/>
          <w:lang w:eastAsia="zh-CN"/>
        </w:rPr>
      </w:pPr>
      <w:r>
        <w:rPr>
          <w:rFonts w:hint="eastAsia" w:ascii="宋体" w:hAnsi="宋体" w:cs="宋体"/>
          <w:sz w:val="24"/>
          <w:lang w:eastAsia="zh-CN"/>
        </w:rPr>
        <w:t>（3）根据《关于促进残疾人就业政府采购政策的通知》（财库〔2017〕141号）。本单位（请填写：是、不是）残疾人福利性单位。</w:t>
      </w:r>
    </w:p>
    <w:p>
      <w:pPr>
        <w:widowControl/>
        <w:spacing w:before="100" w:beforeAutospacing="1" w:after="100" w:afterAutospacing="1" w:line="320" w:lineRule="exact"/>
        <w:ind w:firstLine="420"/>
        <w:rPr>
          <w:rFonts w:ascii="宋体" w:hAnsi="宋体" w:cs="宋体"/>
          <w:sz w:val="24"/>
          <w:lang w:eastAsia="zh-CN"/>
        </w:rPr>
      </w:pPr>
      <w:r>
        <w:rPr>
          <w:rFonts w:hint="eastAsia" w:ascii="宋体" w:hAnsi="宋体" w:cs="宋体"/>
          <w:sz w:val="24"/>
          <w:lang w:eastAsia="zh-CN"/>
        </w:rPr>
        <w:t>2、□本项目提供伴随货物，由其他______（请填写：中型、小型、微型）企业、监狱企业或残疾人福利性单位制造。本条所称货物不包括使用大型企业注册商标的货物。</w:t>
      </w:r>
    </w:p>
    <w:p>
      <w:pPr>
        <w:widowControl/>
        <w:spacing w:before="100" w:beforeAutospacing="1" w:after="100" w:afterAutospacing="1" w:line="320" w:lineRule="exact"/>
        <w:ind w:firstLine="420"/>
        <w:rPr>
          <w:rFonts w:ascii="宋体" w:hAnsi="宋体" w:cs="宋体"/>
          <w:sz w:val="24"/>
          <w:lang w:eastAsia="zh-CN"/>
        </w:rPr>
      </w:pPr>
      <w:r>
        <w:rPr>
          <w:rFonts w:hint="eastAsia" w:ascii="宋体" w:hAnsi="宋体" w:cs="宋体"/>
          <w:sz w:val="24"/>
          <w:lang w:eastAsia="zh-CN"/>
        </w:rPr>
        <w:t>3、□本企业（单位）为联合体一方，提供本企业（单位）制造的货物，由本企业（单位）承担工程、提供服务。本企业（单位）提供协议合同金额占到共同响应文件协议合同总金额的比例为。</w:t>
      </w:r>
    </w:p>
    <w:p>
      <w:pPr>
        <w:widowControl/>
        <w:spacing w:before="100" w:beforeAutospacing="1" w:after="100" w:afterAutospacing="1" w:line="320" w:lineRule="exact"/>
        <w:ind w:firstLine="480"/>
        <w:rPr>
          <w:rFonts w:ascii="宋体" w:hAnsi="宋体" w:cs="宋体"/>
          <w:sz w:val="24"/>
          <w:lang w:eastAsia="zh-CN"/>
        </w:rPr>
      </w:pPr>
      <w:r>
        <w:rPr>
          <w:rFonts w:hint="eastAsia" w:ascii="宋体" w:hAnsi="宋体" w:cs="宋体"/>
          <w:sz w:val="24"/>
          <w:lang w:eastAsia="zh-CN"/>
        </w:rPr>
        <w:t>本企业（单位）对上述声明的真实性负责。如有虚假，将依法承担相应责任。</w:t>
      </w:r>
    </w:p>
    <w:p>
      <w:pPr>
        <w:widowControl/>
        <w:spacing w:before="100" w:beforeAutospacing="1" w:after="100" w:afterAutospacing="1" w:line="320" w:lineRule="exact"/>
        <w:rPr>
          <w:rFonts w:hint="eastAsia" w:ascii="宋体" w:hAnsi="宋体" w:cs="宋体"/>
          <w:sz w:val="24"/>
          <w:lang w:eastAsia="zh-CN"/>
        </w:rPr>
      </w:pPr>
      <w:r>
        <w:rPr>
          <w:rFonts w:hint="eastAsia" w:ascii="宋体" w:hAnsi="宋体" w:cs="宋体"/>
          <w:sz w:val="24"/>
          <w:lang w:eastAsia="zh-CN"/>
        </w:rPr>
        <w:t>　　</w:t>
      </w:r>
    </w:p>
    <w:p>
      <w:pPr>
        <w:rPr>
          <w:rFonts w:hint="eastAsia" w:ascii="宋体" w:hAnsi="宋体" w:cs="宋体"/>
          <w:sz w:val="24"/>
          <w:lang w:eastAsia="zh-CN"/>
        </w:rPr>
      </w:pPr>
      <w:r>
        <w:rPr>
          <w:rFonts w:hint="eastAsia" w:ascii="宋体" w:hAnsi="宋体" w:cs="宋体"/>
          <w:sz w:val="24"/>
          <w:lang w:eastAsia="zh-CN"/>
        </w:rPr>
        <w:br w:type="page"/>
      </w:r>
    </w:p>
    <w:p>
      <w:pPr>
        <w:pStyle w:val="29"/>
        <w:rPr>
          <w:rFonts w:hint="eastAsia" w:ascii="宋体" w:hAnsi="宋体" w:cs="宋体"/>
          <w:sz w:val="24"/>
          <w:lang w:eastAsia="zh-CN"/>
        </w:rPr>
      </w:pPr>
    </w:p>
    <w:p>
      <w:pPr>
        <w:jc w:val="center"/>
        <w:rPr>
          <w:rFonts w:hint="eastAsia"/>
          <w:b/>
          <w:bCs/>
        </w:rPr>
      </w:pPr>
      <w:r>
        <w:rPr>
          <w:rFonts w:hint="eastAsia"/>
          <w:b/>
          <w:bCs/>
        </w:rPr>
        <w:t>中小企业声明函</w:t>
      </w:r>
    </w:p>
    <w:p>
      <w:pPr>
        <w:pStyle w:val="2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本公司</w:t>
      </w:r>
      <w:r>
        <w:rPr>
          <w:rFonts w:hint="eastAsia" w:eastAsia="宋体"/>
          <w:sz w:val="24"/>
          <w:szCs w:val="24"/>
          <w:u w:val="single"/>
          <w:lang w:val="en-US" w:eastAsia="zh-CN"/>
        </w:rPr>
        <w:t xml:space="preserve">        </w:t>
      </w:r>
      <w:r>
        <w:rPr>
          <w:rFonts w:hint="eastAsia"/>
          <w:sz w:val="24"/>
          <w:szCs w:val="24"/>
        </w:rPr>
        <w:t>郑重声明，根据《政府采购促进中小企业发展管理办法》（财库﹝2020﹞46 号）的规定，本公司参加</w:t>
      </w:r>
      <w:r>
        <w:rPr>
          <w:rFonts w:hint="eastAsia" w:eastAsia="宋体"/>
          <w:sz w:val="24"/>
          <w:szCs w:val="24"/>
          <w:u w:val="single"/>
          <w:lang w:val="en-US" w:eastAsia="zh-CN"/>
        </w:rPr>
        <w:t xml:space="preserve">       </w:t>
      </w:r>
      <w:r>
        <w:rPr>
          <w:rFonts w:hint="eastAsia"/>
          <w:sz w:val="24"/>
          <w:szCs w:val="24"/>
        </w:rPr>
        <w:t>（单位名称）的</w:t>
      </w:r>
      <w:r>
        <w:rPr>
          <w:rFonts w:hint="eastAsia" w:eastAsia="宋体"/>
          <w:sz w:val="24"/>
          <w:szCs w:val="24"/>
          <w:u w:val="single"/>
          <w:lang w:val="en-US" w:eastAsia="zh-CN"/>
        </w:rPr>
        <w:t xml:space="preserve">         </w:t>
      </w:r>
      <w:r>
        <w:rPr>
          <w:rFonts w:hint="eastAsia"/>
          <w:sz w:val="24"/>
          <w:szCs w:val="24"/>
        </w:rPr>
        <w:t>（项目名称）采购活动，提供的货物全部由符合政策要求的中小企业制造。相关企业的具体情况如下：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1、</w:t>
      </w:r>
      <w:r>
        <w:rPr>
          <w:rFonts w:hint="eastAsia"/>
          <w:sz w:val="24"/>
          <w:szCs w:val="24"/>
          <w:u w:val="single"/>
        </w:rPr>
        <w:t>（标的货物名称）</w:t>
      </w:r>
      <w:r>
        <w:rPr>
          <w:rFonts w:hint="eastAsia"/>
          <w:sz w:val="24"/>
          <w:szCs w:val="24"/>
        </w:rPr>
        <w:t>，属于</w:t>
      </w:r>
      <w:r>
        <w:rPr>
          <w:rFonts w:hint="eastAsia" w:eastAsia="宋体"/>
          <w:sz w:val="24"/>
          <w:szCs w:val="24"/>
          <w:u w:val="single"/>
          <w:lang w:val="en-US" w:eastAsia="zh-CN"/>
        </w:rPr>
        <w:t xml:space="preserve">       </w:t>
      </w:r>
      <w:r>
        <w:rPr>
          <w:rFonts w:hint="eastAsia"/>
          <w:sz w:val="24"/>
          <w:szCs w:val="24"/>
        </w:rPr>
        <w:t>行业；制造商为</w:t>
      </w:r>
      <w:r>
        <w:rPr>
          <w:rFonts w:hint="eastAsia" w:eastAsia="宋体"/>
          <w:sz w:val="24"/>
          <w:szCs w:val="24"/>
          <w:u w:val="single"/>
          <w:lang w:val="en-US" w:eastAsia="zh-CN"/>
        </w:rPr>
        <w:t xml:space="preserve">          </w:t>
      </w:r>
      <w:r>
        <w:rPr>
          <w:rFonts w:hint="eastAsia"/>
          <w:sz w:val="24"/>
          <w:szCs w:val="24"/>
        </w:rPr>
        <w:t>（企业名称），从业人员</w:t>
      </w:r>
      <w:r>
        <w:rPr>
          <w:rFonts w:hint="eastAsia" w:eastAsia="宋体"/>
          <w:sz w:val="24"/>
          <w:szCs w:val="24"/>
          <w:u w:val="single"/>
          <w:lang w:val="en-US" w:eastAsia="zh-CN"/>
        </w:rPr>
        <w:t xml:space="preserve">      </w:t>
      </w:r>
      <w:r>
        <w:rPr>
          <w:rFonts w:hint="eastAsia"/>
          <w:sz w:val="24"/>
          <w:szCs w:val="24"/>
        </w:rPr>
        <w:t>人，营业收入为</w:t>
      </w:r>
      <w:r>
        <w:rPr>
          <w:rFonts w:hint="eastAsia" w:eastAsia="宋体"/>
          <w:sz w:val="24"/>
          <w:szCs w:val="24"/>
          <w:u w:val="single"/>
          <w:lang w:val="en-US" w:eastAsia="zh-CN"/>
        </w:rPr>
        <w:t xml:space="preserve">     </w:t>
      </w:r>
      <w:r>
        <w:rPr>
          <w:rFonts w:hint="eastAsia"/>
          <w:sz w:val="24"/>
          <w:szCs w:val="24"/>
        </w:rPr>
        <w:t>万元，资产总额为</w:t>
      </w:r>
      <w:r>
        <w:rPr>
          <w:rFonts w:hint="eastAsia" w:eastAsia="宋体"/>
          <w:sz w:val="24"/>
          <w:szCs w:val="24"/>
          <w:u w:val="single"/>
          <w:lang w:val="en-US" w:eastAsia="zh-CN"/>
        </w:rPr>
        <w:t xml:space="preserve">     </w:t>
      </w:r>
      <w:r>
        <w:rPr>
          <w:rFonts w:hint="eastAsia"/>
          <w:sz w:val="24"/>
          <w:szCs w:val="24"/>
        </w:rPr>
        <w:t>万元，属于</w:t>
      </w:r>
      <w:r>
        <w:rPr>
          <w:rFonts w:hint="eastAsia" w:eastAsia="宋体"/>
          <w:sz w:val="24"/>
          <w:szCs w:val="24"/>
          <w:u w:val="single"/>
          <w:lang w:val="en-US" w:eastAsia="zh-CN"/>
        </w:rPr>
        <w:t xml:space="preserve">     </w:t>
      </w:r>
      <w:r>
        <w:rPr>
          <w:rFonts w:hint="eastAsia"/>
          <w:sz w:val="24"/>
          <w:szCs w:val="24"/>
        </w:rPr>
        <w:t>（中型企业、小型企业、微型企业）；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2、</w:t>
      </w:r>
      <w:r>
        <w:rPr>
          <w:rFonts w:hint="eastAsia" w:eastAsia="宋体"/>
          <w:sz w:val="24"/>
          <w:szCs w:val="24"/>
          <w:u w:val="single"/>
          <w:lang w:val="en-US" w:eastAsia="zh-CN"/>
        </w:rPr>
        <w:t xml:space="preserve">      </w:t>
      </w:r>
      <w:r>
        <w:rPr>
          <w:rFonts w:hint="eastAsia"/>
          <w:sz w:val="24"/>
          <w:szCs w:val="24"/>
        </w:rPr>
        <w:t>（标的货物名称），属于 行业；制造商为</w:t>
      </w:r>
      <w:r>
        <w:rPr>
          <w:rFonts w:hint="eastAsia" w:eastAsia="宋体"/>
          <w:sz w:val="24"/>
          <w:szCs w:val="24"/>
          <w:u w:val="single"/>
          <w:lang w:val="en-US" w:eastAsia="zh-CN"/>
        </w:rPr>
        <w:t xml:space="preserve">        </w:t>
      </w:r>
      <w:r>
        <w:rPr>
          <w:rFonts w:hint="eastAsia"/>
          <w:sz w:val="24"/>
          <w:szCs w:val="24"/>
        </w:rPr>
        <w:t>（企业名称），从业人员</w:t>
      </w:r>
      <w:r>
        <w:rPr>
          <w:rFonts w:hint="eastAsia" w:eastAsia="宋体"/>
          <w:sz w:val="24"/>
          <w:szCs w:val="24"/>
          <w:u w:val="single"/>
          <w:lang w:val="en-US" w:eastAsia="zh-CN"/>
        </w:rPr>
        <w:t xml:space="preserve">  </w:t>
      </w:r>
      <w:r>
        <w:rPr>
          <w:rFonts w:hint="eastAsia"/>
          <w:sz w:val="24"/>
          <w:szCs w:val="24"/>
        </w:rPr>
        <w:t>人，营业收入为</w:t>
      </w:r>
      <w:r>
        <w:rPr>
          <w:rFonts w:hint="eastAsia" w:eastAsia="宋体"/>
          <w:sz w:val="24"/>
          <w:szCs w:val="24"/>
          <w:u w:val="single"/>
          <w:lang w:val="en-US" w:eastAsia="zh-CN"/>
        </w:rPr>
        <w:t xml:space="preserve">     </w:t>
      </w:r>
      <w:r>
        <w:rPr>
          <w:rFonts w:hint="eastAsia"/>
          <w:sz w:val="24"/>
          <w:szCs w:val="24"/>
        </w:rPr>
        <w:t>万元，资产总额为</w:t>
      </w:r>
      <w:r>
        <w:rPr>
          <w:rFonts w:hint="eastAsia" w:eastAsia="宋体"/>
          <w:sz w:val="24"/>
          <w:szCs w:val="24"/>
          <w:u w:val="single"/>
          <w:lang w:val="en-US" w:eastAsia="zh-CN"/>
        </w:rPr>
        <w:t xml:space="preserve">       </w:t>
      </w:r>
      <w:r>
        <w:rPr>
          <w:rFonts w:hint="eastAsia"/>
          <w:sz w:val="24"/>
          <w:szCs w:val="24"/>
        </w:rPr>
        <w:t>万元，属于</w:t>
      </w:r>
      <w:r>
        <w:rPr>
          <w:rFonts w:hint="eastAsia" w:eastAsia="宋体"/>
          <w:sz w:val="24"/>
          <w:szCs w:val="24"/>
          <w:u w:val="single"/>
          <w:lang w:val="en-US" w:eastAsia="zh-CN"/>
        </w:rPr>
        <w:t xml:space="preserve">       </w:t>
      </w:r>
      <w:r>
        <w:rPr>
          <w:rFonts w:hint="eastAsia"/>
          <w:sz w:val="24"/>
          <w:szCs w:val="24"/>
        </w:rPr>
        <w:t>（中型企业、小型企业、微型企业）；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说明：</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1、提供的货物全部由符合政策要求的中小企业制造的，填写本声明函；部分符合要求的，无需填写。</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2、行业划分见《工业和信息部、国家统计局、国家发展和改革委员会、财政部关于印发中小企业划型标准规定的通知》（工信部联企业[2011]300号）规定）</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3、从业人员、营业收入、资产总额填报上一年度数据，无上一年度数据的新成立企业可不填报。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4、根据《政府采购促进中小企业发展管理办法》（财库﹝2020﹞46号）的规定，本声明函随中标公告一起公开，接收社会监督。</w:t>
      </w:r>
    </w:p>
    <w:p>
      <w:pPr>
        <w:pStyle w:val="29"/>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sz w:val="24"/>
          <w:szCs w:val="21"/>
        </w:rPr>
      </w:pPr>
    </w:p>
    <w:p>
      <w:pPr>
        <w:pStyle w:val="29"/>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sz w:val="24"/>
          <w:szCs w:val="21"/>
        </w:rPr>
      </w:pP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投标人：（加盖公章）</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投标人法定代表人或其全权代表：（签字或印章）</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cs="宋体"/>
          <w:sz w:val="24"/>
          <w:lang w:eastAsia="zh-CN"/>
        </w:rPr>
      </w:pPr>
      <w:r>
        <w:rPr>
          <w:rFonts w:hint="eastAsia"/>
          <w:sz w:val="24"/>
          <w:szCs w:val="24"/>
        </w:rPr>
        <w:t>日 期： 年 月 日</w:t>
      </w:r>
    </w:p>
    <w:p>
      <w:pPr>
        <w:rPr>
          <w:rFonts w:hint="eastAsia" w:ascii="宋体" w:hAnsi="宋体" w:cs="宋体"/>
          <w:sz w:val="24"/>
          <w:lang w:eastAsia="zh-CN"/>
        </w:rPr>
      </w:pPr>
      <w:r>
        <w:rPr>
          <w:rFonts w:hint="eastAsia" w:ascii="宋体" w:hAnsi="宋体" w:cs="宋体"/>
          <w:sz w:val="24"/>
          <w:lang w:eastAsia="zh-CN"/>
        </w:rPr>
        <w:br w:type="page"/>
      </w:r>
    </w:p>
    <w:p>
      <w:pPr>
        <w:pStyle w:val="29"/>
        <w:rPr>
          <w:lang w:eastAsia="zh-CN"/>
        </w:rPr>
      </w:pPr>
    </w:p>
    <w:p>
      <w:pPr>
        <w:spacing w:line="320" w:lineRule="exact"/>
        <w:ind w:left="1105" w:leftChars="257" w:hanging="540"/>
        <w:jc w:val="center"/>
        <w:rPr>
          <w:rFonts w:ascii="宋体" w:hAnsi="宋体" w:cs="宋体"/>
          <w:b/>
          <w:sz w:val="24"/>
          <w:szCs w:val="20"/>
          <w:lang w:eastAsia="zh-CN"/>
        </w:rPr>
      </w:pPr>
      <w:r>
        <w:rPr>
          <w:rFonts w:hint="eastAsia" w:ascii="宋体" w:hAnsi="宋体" w:cs="宋体"/>
          <w:b/>
          <w:sz w:val="24"/>
          <w:szCs w:val="20"/>
          <w:lang w:eastAsia="zh-CN"/>
        </w:rPr>
        <w:t>　</w:t>
      </w:r>
      <w:bookmarkStart w:id="125" w:name="_Toc23068"/>
      <w:bookmarkStart w:id="126" w:name="_Toc515647825"/>
      <w:bookmarkStart w:id="127" w:name="_Toc24603"/>
      <w:bookmarkStart w:id="128" w:name="_Toc19284"/>
      <w:bookmarkStart w:id="129" w:name="OLE_LINK14"/>
      <w:bookmarkStart w:id="130" w:name="OLE_LINK13"/>
    </w:p>
    <w:p>
      <w:pPr>
        <w:jc w:val="left"/>
        <w:rPr>
          <w:rFonts w:ascii="宋体" w:hAnsi="宋体" w:cs="宋体"/>
          <w:b/>
          <w:sz w:val="24"/>
          <w:szCs w:val="20"/>
          <w:lang w:eastAsia="zh-CN"/>
        </w:rPr>
      </w:pPr>
      <w:r>
        <w:rPr>
          <w:rFonts w:hint="eastAsia" w:ascii="宋体" w:hAnsi="宋体" w:cs="宋体"/>
          <w:b/>
          <w:sz w:val="24"/>
          <w:szCs w:val="20"/>
          <w:lang w:eastAsia="zh-CN"/>
        </w:rPr>
        <w:t>11.2残疾人福利性单位声明函</w:t>
      </w:r>
      <w:bookmarkEnd w:id="125"/>
      <w:bookmarkEnd w:id="126"/>
      <w:bookmarkEnd w:id="127"/>
      <w:bookmarkEnd w:id="128"/>
    </w:p>
    <w:bookmarkEnd w:id="129"/>
    <w:bookmarkEnd w:id="130"/>
    <w:p>
      <w:pPr>
        <w:spacing w:line="240" w:lineRule="atLeast"/>
        <w:ind w:left="1105" w:leftChars="257" w:hanging="540"/>
        <w:jc w:val="center"/>
        <w:rPr>
          <w:rFonts w:ascii="宋体" w:hAnsi="宋体" w:cs="宋体"/>
          <w:sz w:val="24"/>
          <w:szCs w:val="20"/>
          <w:lang w:eastAsia="zh-CN"/>
        </w:rPr>
      </w:pPr>
    </w:p>
    <w:p>
      <w:pPr>
        <w:spacing w:line="360" w:lineRule="auto"/>
        <w:ind w:firstLine="567"/>
        <w:rPr>
          <w:rFonts w:ascii="宋体" w:hAnsi="宋体" w:cs="宋体"/>
          <w:sz w:val="24"/>
          <w:szCs w:val="20"/>
          <w:lang w:eastAsia="zh-CN"/>
        </w:rPr>
      </w:pPr>
      <w:r>
        <w:rPr>
          <w:rFonts w:hint="eastAsia" w:ascii="宋体" w:hAnsi="宋体" w:cs="宋体"/>
          <w:sz w:val="24"/>
          <w:szCs w:val="20"/>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360" w:lineRule="auto"/>
        <w:ind w:left="1105" w:leftChars="257" w:hanging="540"/>
        <w:rPr>
          <w:rFonts w:hint="eastAsia" w:ascii="宋体" w:hAnsi="宋体" w:cs="宋体"/>
          <w:sz w:val="24"/>
          <w:szCs w:val="20"/>
          <w:lang w:eastAsia="zh-CN"/>
        </w:rPr>
      </w:pPr>
      <w:r>
        <w:rPr>
          <w:rFonts w:hint="eastAsia" w:ascii="宋体" w:hAnsi="宋体" w:cs="宋体"/>
          <w:sz w:val="24"/>
          <w:szCs w:val="20"/>
          <w:lang w:eastAsia="zh-CN"/>
        </w:rPr>
        <w:t>本单位对上述声明的真实性负责。如有虚假，将依法承担相应责任。</w:t>
      </w:r>
    </w:p>
    <w:p>
      <w:pPr>
        <w:pStyle w:val="29"/>
        <w:rPr>
          <w:rFonts w:hint="eastAsia" w:ascii="宋体" w:hAnsi="宋体" w:cs="宋体"/>
          <w:sz w:val="24"/>
          <w:szCs w:val="20"/>
          <w:lang w:eastAsia="zh-CN"/>
        </w:rPr>
      </w:pPr>
    </w:p>
    <w:p>
      <w:pPr>
        <w:pStyle w:val="29"/>
        <w:rPr>
          <w:rFonts w:hint="eastAsia" w:ascii="宋体" w:hAnsi="宋体" w:cs="宋体"/>
          <w:sz w:val="24"/>
          <w:szCs w:val="20"/>
          <w:lang w:eastAsia="zh-CN"/>
        </w:rPr>
      </w:pPr>
    </w:p>
    <w:p>
      <w:pPr>
        <w:pStyle w:val="29"/>
        <w:rPr>
          <w:rFonts w:hint="eastAsia" w:ascii="宋体" w:hAnsi="宋体" w:cs="宋体"/>
          <w:sz w:val="24"/>
          <w:szCs w:val="20"/>
          <w:lang w:eastAsia="zh-CN"/>
        </w:rPr>
      </w:pPr>
    </w:p>
    <w:p>
      <w:pPr>
        <w:pStyle w:val="29"/>
        <w:rPr>
          <w:rFonts w:hint="eastAsia" w:ascii="宋体" w:hAnsi="宋体" w:cs="宋体"/>
          <w:sz w:val="24"/>
          <w:szCs w:val="20"/>
          <w:lang w:eastAsia="zh-CN"/>
        </w:rPr>
      </w:pPr>
    </w:p>
    <w:p>
      <w:pPr>
        <w:pStyle w:val="29"/>
        <w:rPr>
          <w:rFonts w:hint="eastAsia" w:ascii="宋体" w:hAnsi="宋体" w:cs="宋体"/>
          <w:sz w:val="24"/>
          <w:szCs w:val="20"/>
          <w:lang w:eastAsia="zh-CN"/>
        </w:rPr>
      </w:pPr>
    </w:p>
    <w:p>
      <w:pPr>
        <w:pStyle w:val="29"/>
        <w:rPr>
          <w:rFonts w:hint="eastAsia" w:ascii="宋体" w:hAnsi="宋体" w:cs="宋体"/>
          <w:sz w:val="24"/>
          <w:szCs w:val="20"/>
          <w:lang w:eastAsia="zh-CN"/>
        </w:rPr>
      </w:pPr>
    </w:p>
    <w:p>
      <w:pPr>
        <w:spacing w:line="240" w:lineRule="atLeast"/>
        <w:ind w:left="1105" w:leftChars="257" w:hanging="540"/>
        <w:rPr>
          <w:rFonts w:ascii="宋体" w:hAnsi="宋体" w:cs="宋体"/>
          <w:sz w:val="24"/>
          <w:szCs w:val="20"/>
          <w:lang w:eastAsia="zh-CN"/>
        </w:rPr>
      </w:pPr>
    </w:p>
    <w:p>
      <w:pPr>
        <w:jc w:val="center"/>
        <w:rPr>
          <w:rFonts w:ascii="宋体" w:hAnsi="宋体" w:cs="宋体"/>
          <w:b/>
          <w:sz w:val="24"/>
          <w:szCs w:val="20"/>
          <w:lang w:eastAsia="zh-CN"/>
        </w:rPr>
      </w:pPr>
      <w:r>
        <w:rPr>
          <w:rFonts w:hint="eastAsia" w:ascii="宋体" w:hAnsi="宋体" w:cs="宋体"/>
          <w:b/>
          <w:sz w:val="24"/>
          <w:szCs w:val="20"/>
          <w:lang w:eastAsia="zh-CN"/>
        </w:rPr>
        <w:t>11.3省级以上监狱管理局、戒毒管理局（含新疆生产建设兵团） 出具的属于监狱企业的证明文件复印件</w:t>
      </w:r>
    </w:p>
    <w:p>
      <w:pPr>
        <w:keepNext/>
        <w:keepLines/>
        <w:autoSpaceDE w:val="0"/>
        <w:autoSpaceDN w:val="0"/>
        <w:adjustRightInd w:val="0"/>
        <w:spacing w:line="320" w:lineRule="exact"/>
        <w:ind w:left="1105" w:leftChars="257" w:hanging="540"/>
        <w:outlineLvl w:val="1"/>
        <w:rPr>
          <w:rFonts w:ascii="宋体" w:hAnsi="宋体" w:cs="宋体"/>
          <w:b/>
          <w:sz w:val="30"/>
          <w:szCs w:val="20"/>
          <w:lang w:eastAsia="zh-CN"/>
        </w:rPr>
        <w:sectPr>
          <w:footerReference r:id="rId14" w:type="first"/>
          <w:footerReference r:id="rId12" w:type="default"/>
          <w:footerReference r:id="rId13" w:type="even"/>
          <w:pgSz w:w="11906" w:h="16838"/>
          <w:pgMar w:top="1440" w:right="1797" w:bottom="1440" w:left="1797" w:header="851" w:footer="992" w:gutter="0"/>
          <w:pgNumType w:fmt="decimal"/>
          <w:cols w:space="720" w:num="1"/>
          <w:docGrid w:type="linesAndChars" w:linePitch="312" w:charSpace="0"/>
        </w:sectPr>
      </w:pPr>
    </w:p>
    <w:bookmarkEnd w:id="118"/>
    <w:p>
      <w:pPr>
        <w:pStyle w:val="6"/>
        <w:rPr>
          <w:rFonts w:cs="宋体"/>
          <w:lang w:eastAsia="zh-CN"/>
        </w:rPr>
      </w:pPr>
      <w:bookmarkStart w:id="131" w:name="_Toc46238282"/>
      <w:bookmarkStart w:id="132" w:name="_Toc46136865"/>
      <w:bookmarkStart w:id="133" w:name="_Toc31140"/>
      <w:bookmarkStart w:id="134" w:name="_Toc46136867"/>
      <w:bookmarkStart w:id="135" w:name="_Toc46238284"/>
      <w:bookmarkStart w:id="136" w:name="_Toc12038"/>
      <w:r>
        <w:rPr>
          <w:rFonts w:hint="eastAsia" w:cs="宋体"/>
          <w:lang w:eastAsia="zh-CN"/>
        </w:rPr>
        <w:t>12.分项报价表</w:t>
      </w:r>
      <w:bookmarkEnd w:id="131"/>
      <w:bookmarkEnd w:id="132"/>
      <w:r>
        <w:rPr>
          <w:rFonts w:hint="eastAsia" w:cs="宋体"/>
          <w:lang w:eastAsia="zh-CN"/>
        </w:rPr>
        <w:t>（样表）</w:t>
      </w:r>
      <w:bookmarkEnd w:id="133"/>
    </w:p>
    <w:p>
      <w:pPr>
        <w:tabs>
          <w:tab w:val="left" w:pos="1337"/>
        </w:tabs>
        <w:rPr>
          <w:rFonts w:ascii="宋体" w:hAnsi="宋体" w:cs="宋体"/>
          <w:sz w:val="20"/>
          <w:szCs w:val="20"/>
          <w:lang w:eastAsia="zh-CN"/>
        </w:rPr>
      </w:pPr>
    </w:p>
    <w:p>
      <w:pPr>
        <w:tabs>
          <w:tab w:val="left" w:pos="1337"/>
        </w:tabs>
        <w:ind w:left="142" w:hanging="141" w:hangingChars="59"/>
        <w:rPr>
          <w:rFonts w:ascii="宋体" w:hAnsi="宋体" w:cs="宋体"/>
          <w:sz w:val="24"/>
          <w:lang w:eastAsia="zh-CN"/>
        </w:rPr>
      </w:pPr>
      <w:r>
        <w:rPr>
          <w:rFonts w:hint="eastAsia" w:ascii="宋体" w:hAnsi="宋体" w:cs="宋体"/>
          <w:sz w:val="24"/>
          <w:lang w:eastAsia="zh-CN"/>
        </w:rPr>
        <w:t>12.1货物分项报价表</w:t>
      </w:r>
      <w:r>
        <w:rPr>
          <w:rFonts w:hint="eastAsia" w:ascii="宋体" w:hAnsi="宋体" w:cs="宋体"/>
          <w:lang w:eastAsia="zh-CN"/>
        </w:rPr>
        <w:t>（样表）</w:t>
      </w:r>
    </w:p>
    <w:p>
      <w:pPr>
        <w:spacing w:line="400" w:lineRule="exact"/>
        <w:rPr>
          <w:rFonts w:ascii="宋体" w:hAnsi="宋体" w:cs="宋体"/>
          <w:position w:val="-2"/>
          <w:szCs w:val="21"/>
          <w:lang w:eastAsia="zh-CN"/>
        </w:rPr>
      </w:pPr>
      <w:r>
        <w:rPr>
          <w:rFonts w:hint="eastAsia" w:ascii="宋体" w:hAnsi="宋体" w:cs="宋体"/>
          <w:sz w:val="24"/>
          <w:lang w:eastAsia="zh-CN"/>
        </w:rPr>
        <w:t>项目编号、包号: 　　报价单位：人民币元</w:t>
      </w:r>
    </w:p>
    <w:tbl>
      <w:tblPr>
        <w:tblStyle w:val="23"/>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644"/>
        <w:gridCol w:w="530"/>
        <w:gridCol w:w="530"/>
        <w:gridCol w:w="802"/>
        <w:gridCol w:w="567"/>
        <w:gridCol w:w="567"/>
        <w:gridCol w:w="604"/>
        <w:gridCol w:w="708"/>
        <w:gridCol w:w="696"/>
        <w:gridCol w:w="696"/>
        <w:gridCol w:w="696"/>
        <w:gridCol w:w="696"/>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721"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编号</w:t>
            </w:r>
          </w:p>
        </w:tc>
        <w:tc>
          <w:tcPr>
            <w:tcW w:w="644"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货物名称</w:t>
            </w:r>
          </w:p>
        </w:tc>
        <w:tc>
          <w:tcPr>
            <w:tcW w:w="530"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数量</w:t>
            </w:r>
          </w:p>
        </w:tc>
        <w:tc>
          <w:tcPr>
            <w:tcW w:w="530"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单位</w:t>
            </w:r>
          </w:p>
        </w:tc>
        <w:tc>
          <w:tcPr>
            <w:tcW w:w="802"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是否强制节能</w:t>
            </w:r>
          </w:p>
        </w:tc>
        <w:tc>
          <w:tcPr>
            <w:tcW w:w="567"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是否核心产品</w:t>
            </w:r>
          </w:p>
        </w:tc>
        <w:tc>
          <w:tcPr>
            <w:tcW w:w="567"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是否接受进口</w:t>
            </w:r>
          </w:p>
        </w:tc>
        <w:tc>
          <w:tcPr>
            <w:tcW w:w="604"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制造商</w:t>
            </w:r>
          </w:p>
        </w:tc>
        <w:tc>
          <w:tcPr>
            <w:tcW w:w="708"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产地</w:t>
            </w: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品牌</w:t>
            </w: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型号</w:t>
            </w: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单价</w:t>
            </w: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合价</w:t>
            </w:r>
          </w:p>
        </w:tc>
        <w:tc>
          <w:tcPr>
            <w:tcW w:w="894"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小微企业产品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1.1</w:t>
            </w:r>
          </w:p>
        </w:tc>
        <w:tc>
          <w:tcPr>
            <w:tcW w:w="644"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530"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530"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802"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567"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567"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04"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708"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96"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96"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96"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96"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894" w:type="dxa"/>
            <w:vMerge w:val="restart"/>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positio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721"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1.2</w:t>
            </w:r>
          </w:p>
        </w:tc>
        <w:tc>
          <w:tcPr>
            <w:tcW w:w="644"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530"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530"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802"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567"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567"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708"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894"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21"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1.3</w:t>
            </w:r>
          </w:p>
        </w:tc>
        <w:tc>
          <w:tcPr>
            <w:tcW w:w="644"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w:t>
            </w:r>
          </w:p>
        </w:tc>
        <w:tc>
          <w:tcPr>
            <w:tcW w:w="530"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530"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802"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567"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567"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r>
              <w:rPr>
                <w:rFonts w:hint="eastAsia" w:ascii="宋体" w:hAnsi="宋体" w:cs="宋体"/>
                <w:position w:val="-2"/>
                <w:sz w:val="24"/>
                <w:szCs w:val="24"/>
              </w:rPr>
              <w:t>　</w:t>
            </w:r>
          </w:p>
        </w:tc>
        <w:tc>
          <w:tcPr>
            <w:tcW w:w="708" w:type="dxa"/>
            <w:tcBorders>
              <w:top w:val="single" w:color="000000" w:sz="4" w:space="0"/>
              <w:left w:val="single" w:color="000000" w:sz="4" w:space="0"/>
              <w:bottom w:val="single" w:color="000000" w:sz="4" w:space="0"/>
              <w:right w:val="single" w:color="000000" w:sz="4" w:space="0"/>
            </w:tcBorders>
          </w:tcPr>
          <w:p>
            <w:pPr>
              <w:spacing w:after="200" w:line="240" w:lineRule="exact"/>
              <w:ind w:right="-20"/>
              <w:rPr>
                <w:rFonts w:ascii="宋体" w:hAnsi="宋体" w:cs="宋体"/>
                <w:position w:val="-2"/>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c>
          <w:tcPr>
            <w:tcW w:w="894" w:type="dxa"/>
            <w:tcBorders>
              <w:top w:val="single" w:color="000000" w:sz="4" w:space="0"/>
              <w:left w:val="single" w:color="000000" w:sz="4" w:space="0"/>
              <w:bottom w:val="single" w:color="000000" w:sz="4" w:space="0"/>
              <w:right w:val="single" w:color="000000" w:sz="4" w:space="0"/>
            </w:tcBorders>
          </w:tcPr>
          <w:p>
            <w:pPr>
              <w:spacing w:after="200" w:line="240" w:lineRule="exact"/>
              <w:ind w:left="124" w:right="-20"/>
              <w:rPr>
                <w:rFonts w:ascii="宋体" w:hAnsi="宋体" w:cs="宋体"/>
                <w:position w:val="-2"/>
                <w:sz w:val="24"/>
                <w:szCs w:val="24"/>
              </w:rPr>
            </w:pPr>
          </w:p>
        </w:tc>
      </w:tr>
    </w:tbl>
    <w:p>
      <w:pPr>
        <w:spacing w:line="320" w:lineRule="exact"/>
        <w:rPr>
          <w:rFonts w:ascii="宋体" w:hAnsi="宋体" w:cs="宋体"/>
          <w:sz w:val="24"/>
          <w:szCs w:val="24"/>
          <w:lang w:eastAsia="zh-CN"/>
        </w:rPr>
      </w:pPr>
      <w:r>
        <w:rPr>
          <w:rFonts w:hint="eastAsia" w:ascii="宋体" w:hAnsi="宋体" w:cs="宋体"/>
          <w:sz w:val="24"/>
          <w:szCs w:val="24"/>
          <w:lang w:eastAsia="zh-CN"/>
        </w:rPr>
        <w:t>说明： 1、供应商必须填写主要产品的品牌、型号，否则按无效响应文件处理。</w:t>
      </w:r>
    </w:p>
    <w:p>
      <w:pPr>
        <w:spacing w:line="320" w:lineRule="exact"/>
        <w:ind w:firstLine="849" w:firstLineChars="354"/>
        <w:rPr>
          <w:rFonts w:ascii="宋体" w:hAnsi="宋体" w:cs="宋体"/>
          <w:sz w:val="24"/>
          <w:szCs w:val="24"/>
          <w:lang w:eastAsia="zh-CN"/>
        </w:rPr>
      </w:pPr>
      <w:r>
        <w:rPr>
          <w:rFonts w:hint="eastAsia" w:ascii="宋体" w:hAnsi="宋体" w:cs="宋体"/>
          <w:sz w:val="24"/>
          <w:szCs w:val="24"/>
          <w:lang w:eastAsia="zh-CN"/>
        </w:rPr>
        <w:t>2、供应商须填写相关内容，响应文件工具自动合成。</w:t>
      </w:r>
    </w:p>
    <w:p>
      <w:pPr>
        <w:spacing w:line="320" w:lineRule="exact"/>
        <w:ind w:firstLine="849" w:firstLineChars="354"/>
        <w:rPr>
          <w:rFonts w:ascii="宋体" w:hAnsi="宋体" w:cs="宋体"/>
          <w:sz w:val="24"/>
          <w:szCs w:val="24"/>
          <w:lang w:eastAsia="zh-CN"/>
        </w:rPr>
      </w:pPr>
      <w:r>
        <w:rPr>
          <w:rFonts w:hint="eastAsia" w:ascii="宋体" w:hAnsi="宋体" w:cs="宋体"/>
          <w:sz w:val="24"/>
          <w:szCs w:val="24"/>
          <w:lang w:eastAsia="zh-CN"/>
        </w:rPr>
        <w:t>3、如所报产品为强制性认证产品，应如实、准确填报，否则按无效响应文件处理。</w:t>
      </w:r>
    </w:p>
    <w:p>
      <w:pPr>
        <w:spacing w:line="200" w:lineRule="exact"/>
        <w:rPr>
          <w:rFonts w:ascii="宋体" w:hAnsi="宋体" w:cs="宋体"/>
          <w:sz w:val="20"/>
          <w:szCs w:val="20"/>
          <w:lang w:eastAsia="zh-CN"/>
        </w:rPr>
      </w:pPr>
    </w:p>
    <w:p>
      <w:pPr>
        <w:pStyle w:val="29"/>
        <w:rPr>
          <w:rFonts w:ascii="宋体" w:hAnsi="宋体" w:cs="宋体"/>
          <w:sz w:val="20"/>
          <w:szCs w:val="20"/>
          <w:lang w:eastAsia="zh-CN"/>
        </w:rPr>
      </w:pPr>
    </w:p>
    <w:p>
      <w:pPr>
        <w:pStyle w:val="29"/>
        <w:rPr>
          <w:rFonts w:ascii="宋体" w:hAnsi="宋体" w:cs="宋体"/>
          <w:sz w:val="20"/>
          <w:szCs w:val="20"/>
          <w:lang w:eastAsia="zh-CN"/>
        </w:rPr>
      </w:pPr>
    </w:p>
    <w:p>
      <w:pPr>
        <w:pStyle w:val="29"/>
        <w:rPr>
          <w:rFonts w:ascii="宋体" w:hAnsi="宋体" w:cs="宋体"/>
          <w:sz w:val="20"/>
          <w:szCs w:val="20"/>
          <w:lang w:eastAsia="zh-CN"/>
        </w:rPr>
      </w:pPr>
    </w:p>
    <w:p>
      <w:pPr>
        <w:pStyle w:val="29"/>
        <w:rPr>
          <w:rFonts w:ascii="宋体" w:hAnsi="宋体" w:cs="宋体"/>
          <w:sz w:val="20"/>
          <w:szCs w:val="20"/>
          <w:lang w:eastAsia="zh-CN"/>
        </w:rPr>
      </w:pPr>
    </w:p>
    <w:p>
      <w:pPr>
        <w:pStyle w:val="6"/>
        <w:rPr>
          <w:rFonts w:cs="宋体"/>
          <w:lang w:eastAsia="zh-CN"/>
        </w:rPr>
      </w:pPr>
      <w:bookmarkStart w:id="137" w:name="_Toc46238283"/>
      <w:bookmarkStart w:id="138" w:name="_Toc45562517"/>
      <w:bookmarkStart w:id="139" w:name="_Toc46136866"/>
      <w:bookmarkStart w:id="140" w:name="_Toc6866"/>
      <w:r>
        <w:rPr>
          <w:rFonts w:hint="eastAsia" w:cs="宋体"/>
          <w:lang w:eastAsia="zh-CN"/>
        </w:rPr>
        <w:t>13.货物明细表</w:t>
      </w:r>
      <w:bookmarkEnd w:id="137"/>
      <w:bookmarkEnd w:id="138"/>
      <w:bookmarkEnd w:id="139"/>
      <w:r>
        <w:rPr>
          <w:rFonts w:hint="eastAsia" w:cs="宋体"/>
          <w:lang w:eastAsia="zh-CN"/>
        </w:rPr>
        <w:t>（样表）</w:t>
      </w:r>
      <w:bookmarkEnd w:id="140"/>
    </w:p>
    <w:p>
      <w:pPr>
        <w:pStyle w:val="11"/>
        <w:rPr>
          <w:rFonts w:hAnsi="宋体" w:cs="宋体"/>
          <w:szCs w:val="24"/>
          <w:lang w:eastAsia="zh-CN"/>
        </w:rPr>
      </w:pPr>
    </w:p>
    <w:p>
      <w:pPr>
        <w:spacing w:line="271" w:lineRule="exact"/>
        <w:ind w:left="220" w:right="-20"/>
        <w:rPr>
          <w:rFonts w:ascii="宋体" w:hAnsi="宋体" w:cs="宋体"/>
          <w:sz w:val="24"/>
          <w:szCs w:val="24"/>
          <w:lang w:eastAsia="zh-CN"/>
        </w:rPr>
      </w:pPr>
      <w:r>
        <w:rPr>
          <w:rFonts w:hint="eastAsia" w:ascii="宋体" w:hAnsi="宋体" w:cs="宋体"/>
          <w:sz w:val="24"/>
          <w:szCs w:val="24"/>
          <w:lang w:eastAsia="zh-CN"/>
        </w:rPr>
        <w:t>13.1项目概述（样表）</w:t>
      </w:r>
    </w:p>
    <w:p>
      <w:pPr>
        <w:spacing w:before="9" w:line="80" w:lineRule="exact"/>
        <w:rPr>
          <w:rFonts w:ascii="宋体" w:hAnsi="宋体" w:cs="宋体"/>
          <w:sz w:val="24"/>
          <w:szCs w:val="24"/>
          <w:lang w:eastAsia="zh-CN"/>
        </w:rPr>
      </w:pPr>
    </w:p>
    <w:tbl>
      <w:tblPr>
        <w:tblStyle w:val="23"/>
        <w:tblW w:w="9781" w:type="dxa"/>
        <w:tblInd w:w="-709" w:type="dxa"/>
        <w:tblLayout w:type="fixed"/>
        <w:tblCellMar>
          <w:top w:w="0" w:type="dxa"/>
          <w:left w:w="0" w:type="dxa"/>
          <w:bottom w:w="0" w:type="dxa"/>
          <w:right w:w="0" w:type="dxa"/>
        </w:tblCellMar>
      </w:tblPr>
      <w:tblGrid>
        <w:gridCol w:w="1377"/>
        <w:gridCol w:w="2023"/>
        <w:gridCol w:w="826"/>
        <w:gridCol w:w="1773"/>
        <w:gridCol w:w="3782"/>
      </w:tblGrid>
      <w:tr>
        <w:tblPrEx>
          <w:tblCellMar>
            <w:top w:w="0" w:type="dxa"/>
            <w:left w:w="0" w:type="dxa"/>
            <w:bottom w:w="0" w:type="dxa"/>
            <w:right w:w="0" w:type="dxa"/>
          </w:tblCellMar>
        </w:tblPrEx>
        <w:trPr>
          <w:trHeight w:val="272" w:hRule="atLeast"/>
        </w:trPr>
        <w:tc>
          <w:tcPr>
            <w:tcW w:w="1377"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424" w:right="406"/>
              <w:jc w:val="center"/>
              <w:rPr>
                <w:rFonts w:ascii="宋体" w:hAnsi="宋体" w:cs="宋体"/>
                <w:sz w:val="24"/>
                <w:szCs w:val="24"/>
              </w:rPr>
            </w:pPr>
            <w:r>
              <w:rPr>
                <w:rFonts w:hint="eastAsia" w:ascii="宋体" w:hAnsi="宋体" w:cs="宋体"/>
                <w:position w:val="-2"/>
                <w:sz w:val="24"/>
                <w:szCs w:val="24"/>
              </w:rPr>
              <w:t>编号</w:t>
            </w:r>
          </w:p>
        </w:tc>
        <w:tc>
          <w:tcPr>
            <w:tcW w:w="2023"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869" w:right="850"/>
              <w:jc w:val="center"/>
              <w:rPr>
                <w:rFonts w:ascii="宋体" w:hAnsi="宋体" w:cs="宋体"/>
                <w:sz w:val="24"/>
                <w:szCs w:val="24"/>
              </w:rPr>
            </w:pPr>
            <w:r>
              <w:rPr>
                <w:rFonts w:hint="eastAsia" w:ascii="宋体" w:hAnsi="宋体" w:cs="宋体"/>
                <w:position w:val="-2"/>
                <w:sz w:val="24"/>
                <w:szCs w:val="24"/>
              </w:rPr>
              <w:t>内容</w:t>
            </w:r>
          </w:p>
        </w:tc>
        <w:tc>
          <w:tcPr>
            <w:tcW w:w="826"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rPr>
                <w:rFonts w:ascii="宋体" w:hAnsi="宋体" w:cs="宋体"/>
                <w:sz w:val="24"/>
                <w:szCs w:val="24"/>
              </w:rPr>
            </w:pPr>
            <w:r>
              <w:rPr>
                <w:rFonts w:hint="eastAsia" w:ascii="宋体" w:hAnsi="宋体" w:cs="宋体"/>
                <w:position w:val="-2"/>
                <w:sz w:val="24"/>
                <w:szCs w:val="24"/>
              </w:rPr>
              <w:t>说明编号</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274" w:right="1072"/>
              <w:jc w:val="center"/>
              <w:rPr>
                <w:rFonts w:ascii="宋体" w:hAnsi="宋体" w:cs="宋体"/>
                <w:sz w:val="24"/>
                <w:szCs w:val="24"/>
              </w:rPr>
            </w:pPr>
            <w:r>
              <w:rPr>
                <w:rFonts w:hint="eastAsia" w:ascii="宋体" w:hAnsi="宋体" w:cs="宋体"/>
                <w:position w:val="-2"/>
                <w:sz w:val="24"/>
                <w:szCs w:val="24"/>
              </w:rPr>
              <w:t>说明</w:t>
            </w:r>
          </w:p>
        </w:tc>
        <w:tc>
          <w:tcPr>
            <w:tcW w:w="3782"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089" w:right="1072"/>
              <w:jc w:val="center"/>
              <w:rPr>
                <w:rFonts w:ascii="宋体" w:hAnsi="宋体" w:cs="宋体"/>
                <w:position w:val="-2"/>
                <w:sz w:val="24"/>
                <w:szCs w:val="24"/>
              </w:rPr>
            </w:pPr>
            <w:r>
              <w:rPr>
                <w:rFonts w:hint="eastAsia" w:ascii="宋体" w:hAnsi="宋体" w:cs="宋体"/>
                <w:position w:val="-2"/>
                <w:sz w:val="24"/>
                <w:szCs w:val="24"/>
              </w:rPr>
              <w:t>响应内容</w:t>
            </w:r>
          </w:p>
        </w:tc>
      </w:tr>
      <w:tr>
        <w:tblPrEx>
          <w:tblCellMar>
            <w:top w:w="0" w:type="dxa"/>
            <w:left w:w="0" w:type="dxa"/>
            <w:bottom w:w="0" w:type="dxa"/>
            <w:right w:w="0" w:type="dxa"/>
          </w:tblCellMar>
        </w:tblPrEx>
        <w:trPr>
          <w:trHeight w:val="272" w:hRule="atLeast"/>
        </w:trPr>
        <w:tc>
          <w:tcPr>
            <w:tcW w:w="1377" w:type="dxa"/>
            <w:vMerge w:val="restart"/>
            <w:tcBorders>
              <w:top w:val="single" w:color="000000" w:sz="2" w:space="0"/>
              <w:left w:val="single" w:color="000000" w:sz="2" w:space="0"/>
              <w:bottom w:val="single" w:color="000000" w:sz="2" w:space="0"/>
              <w:right w:val="single" w:color="000000" w:sz="2" w:space="0"/>
            </w:tcBorders>
            <w:vAlign w:val="center"/>
          </w:tcPr>
          <w:p>
            <w:pPr>
              <w:spacing w:before="69"/>
              <w:ind w:left="479" w:right="457"/>
              <w:jc w:val="center"/>
              <w:rPr>
                <w:rFonts w:ascii="宋体" w:hAnsi="宋体" w:cs="宋体"/>
                <w:sz w:val="24"/>
                <w:szCs w:val="24"/>
              </w:rPr>
            </w:pPr>
            <w:r>
              <w:rPr>
                <w:rFonts w:hint="eastAsia" w:ascii="宋体" w:hAnsi="宋体" w:cs="宋体"/>
                <w:sz w:val="24"/>
                <w:szCs w:val="24"/>
              </w:rPr>
              <w:t>1.1</w:t>
            </w:r>
          </w:p>
        </w:tc>
        <w:tc>
          <w:tcPr>
            <w:tcW w:w="2023" w:type="dxa"/>
            <w:vMerge w:val="restart"/>
            <w:tcBorders>
              <w:top w:val="single" w:color="000000" w:sz="2" w:space="0"/>
              <w:left w:val="single" w:color="000000" w:sz="2" w:space="0"/>
              <w:bottom w:val="single" w:color="000000" w:sz="2" w:space="0"/>
              <w:right w:val="single" w:color="000000" w:sz="2" w:space="0"/>
            </w:tcBorders>
            <w:vAlign w:val="center"/>
          </w:tcPr>
          <w:p>
            <w:pPr>
              <w:spacing w:before="69"/>
              <w:ind w:left="696" w:right="-20"/>
              <w:jc w:val="center"/>
              <w:rPr>
                <w:rFonts w:ascii="宋体" w:hAnsi="宋体" w:cs="宋体"/>
                <w:sz w:val="24"/>
                <w:szCs w:val="24"/>
              </w:rPr>
            </w:pPr>
          </w:p>
        </w:tc>
        <w:tc>
          <w:tcPr>
            <w:tcW w:w="82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032" w:right="1011"/>
              <w:jc w:val="center"/>
              <w:rPr>
                <w:rFonts w:ascii="宋体" w:hAnsi="宋体" w:cs="宋体"/>
                <w:sz w:val="24"/>
                <w:szCs w:val="24"/>
              </w:rPr>
            </w:p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865" w:right="-20"/>
              <w:jc w:val="center"/>
              <w:rPr>
                <w:rFonts w:ascii="宋体" w:hAnsi="宋体" w:cs="宋体"/>
                <w:sz w:val="24"/>
                <w:szCs w:val="24"/>
              </w:rPr>
            </w:pPr>
          </w:p>
        </w:tc>
        <w:tc>
          <w:tcPr>
            <w:tcW w:w="3782"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865" w:right="-20"/>
              <w:jc w:val="center"/>
              <w:rPr>
                <w:rFonts w:ascii="宋体" w:hAnsi="宋体" w:cs="宋体"/>
                <w:sz w:val="24"/>
                <w:szCs w:val="24"/>
              </w:rPr>
            </w:pPr>
          </w:p>
        </w:tc>
      </w:tr>
      <w:tr>
        <w:tblPrEx>
          <w:tblCellMar>
            <w:top w:w="0" w:type="dxa"/>
            <w:left w:w="0" w:type="dxa"/>
            <w:bottom w:w="0" w:type="dxa"/>
            <w:right w:w="0" w:type="dxa"/>
          </w:tblCellMar>
        </w:tblPrEx>
        <w:trPr>
          <w:trHeight w:val="272" w:hRule="atLeast"/>
        </w:trPr>
        <w:tc>
          <w:tcPr>
            <w:tcW w:w="1377" w:type="dxa"/>
            <w:vMerge w:val="continue"/>
            <w:tcBorders>
              <w:top w:val="single" w:color="000000" w:sz="2" w:space="0"/>
              <w:left w:val="single" w:color="000000" w:sz="2" w:space="0"/>
              <w:bottom w:val="single" w:color="000000" w:sz="2" w:space="0"/>
              <w:right w:val="single" w:color="000000" w:sz="2" w:space="0"/>
            </w:tcBorders>
            <w:vAlign w:val="center"/>
          </w:tcPr>
          <w:p>
            <w:pPr>
              <w:widowControl/>
              <w:rPr>
                <w:rFonts w:ascii="宋体" w:hAnsi="宋体" w:cs="宋体"/>
                <w:sz w:val="24"/>
                <w:szCs w:val="24"/>
              </w:rPr>
            </w:pPr>
          </w:p>
        </w:tc>
        <w:tc>
          <w:tcPr>
            <w:tcW w:w="2023" w:type="dxa"/>
            <w:vMerge w:val="continue"/>
            <w:tcBorders>
              <w:top w:val="single" w:color="000000" w:sz="2" w:space="0"/>
              <w:left w:val="single" w:color="000000" w:sz="2" w:space="0"/>
              <w:bottom w:val="single" w:color="000000" w:sz="2" w:space="0"/>
              <w:right w:val="single" w:color="000000" w:sz="2" w:space="0"/>
            </w:tcBorders>
            <w:vAlign w:val="center"/>
          </w:tcPr>
          <w:p>
            <w:pPr>
              <w:widowControl/>
              <w:rPr>
                <w:rFonts w:ascii="宋体" w:hAnsi="宋体" w:cs="宋体"/>
                <w:sz w:val="24"/>
                <w:szCs w:val="24"/>
              </w:rPr>
            </w:pPr>
          </w:p>
        </w:tc>
        <w:tc>
          <w:tcPr>
            <w:tcW w:w="82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032" w:right="1011"/>
              <w:jc w:val="center"/>
              <w:rPr>
                <w:rFonts w:ascii="宋体" w:hAnsi="宋体" w:cs="宋体"/>
                <w:sz w:val="24"/>
                <w:szCs w:val="24"/>
              </w:rPr>
            </w:p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935" w:right="911"/>
              <w:jc w:val="center"/>
              <w:rPr>
                <w:rFonts w:ascii="宋体" w:hAnsi="宋体" w:cs="宋体"/>
                <w:sz w:val="24"/>
                <w:szCs w:val="24"/>
              </w:rPr>
            </w:pPr>
          </w:p>
        </w:tc>
        <w:tc>
          <w:tcPr>
            <w:tcW w:w="3782"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935" w:right="911"/>
              <w:jc w:val="center"/>
              <w:rPr>
                <w:rFonts w:ascii="宋体" w:hAnsi="宋体" w:cs="宋体"/>
                <w:sz w:val="24"/>
                <w:szCs w:val="24"/>
              </w:rPr>
            </w:pPr>
          </w:p>
        </w:tc>
      </w:tr>
      <w:tr>
        <w:tblPrEx>
          <w:tblCellMar>
            <w:top w:w="0" w:type="dxa"/>
            <w:left w:w="0" w:type="dxa"/>
            <w:bottom w:w="0" w:type="dxa"/>
            <w:right w:w="0" w:type="dxa"/>
          </w:tblCellMar>
        </w:tblPrEx>
        <w:trPr>
          <w:trHeight w:val="272" w:hRule="atLeast"/>
        </w:trPr>
        <w:tc>
          <w:tcPr>
            <w:tcW w:w="1377" w:type="dxa"/>
            <w:vMerge w:val="restart"/>
            <w:tcBorders>
              <w:top w:val="single" w:color="000000" w:sz="2" w:space="0"/>
              <w:left w:val="single" w:color="000000" w:sz="2" w:space="0"/>
              <w:bottom w:val="single" w:color="000000" w:sz="2" w:space="0"/>
              <w:right w:val="single" w:color="000000" w:sz="2" w:space="0"/>
            </w:tcBorders>
            <w:vAlign w:val="center"/>
          </w:tcPr>
          <w:p>
            <w:pPr>
              <w:spacing w:before="69"/>
              <w:ind w:left="479" w:right="457"/>
              <w:jc w:val="center"/>
              <w:rPr>
                <w:rFonts w:ascii="宋体" w:hAnsi="宋体" w:cs="宋体"/>
                <w:sz w:val="24"/>
                <w:szCs w:val="24"/>
              </w:rPr>
            </w:pPr>
            <w:r>
              <w:rPr>
                <w:rFonts w:hint="eastAsia" w:ascii="宋体" w:hAnsi="宋体" w:cs="宋体"/>
                <w:sz w:val="24"/>
                <w:szCs w:val="24"/>
              </w:rPr>
              <w:t>1.2</w:t>
            </w:r>
          </w:p>
        </w:tc>
        <w:tc>
          <w:tcPr>
            <w:tcW w:w="2023" w:type="dxa"/>
            <w:vMerge w:val="restart"/>
            <w:tcBorders>
              <w:top w:val="single" w:color="000000" w:sz="2" w:space="0"/>
              <w:left w:val="single" w:color="000000" w:sz="2" w:space="0"/>
              <w:bottom w:val="single" w:color="000000" w:sz="2" w:space="0"/>
              <w:right w:val="single" w:color="000000" w:sz="2" w:space="0"/>
            </w:tcBorders>
            <w:vAlign w:val="center"/>
          </w:tcPr>
          <w:p>
            <w:pPr>
              <w:spacing w:before="69"/>
              <w:ind w:left="696" w:right="-20"/>
              <w:jc w:val="center"/>
              <w:rPr>
                <w:rFonts w:ascii="宋体" w:hAnsi="宋体" w:cs="宋体"/>
                <w:sz w:val="24"/>
                <w:szCs w:val="24"/>
              </w:rPr>
            </w:pPr>
          </w:p>
        </w:tc>
        <w:tc>
          <w:tcPr>
            <w:tcW w:w="82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032" w:right="1011"/>
              <w:jc w:val="center"/>
              <w:rPr>
                <w:rFonts w:ascii="宋体" w:hAnsi="宋体" w:cs="宋体"/>
                <w:sz w:val="24"/>
                <w:szCs w:val="24"/>
              </w:rPr>
            </w:p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028" w:right="1006"/>
              <w:jc w:val="center"/>
              <w:rPr>
                <w:rFonts w:ascii="宋体" w:hAnsi="宋体" w:cs="宋体"/>
                <w:sz w:val="24"/>
                <w:szCs w:val="24"/>
              </w:rPr>
            </w:pPr>
          </w:p>
        </w:tc>
        <w:tc>
          <w:tcPr>
            <w:tcW w:w="3782"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028" w:right="1006"/>
              <w:jc w:val="center"/>
              <w:rPr>
                <w:rFonts w:ascii="宋体" w:hAnsi="宋体" w:cs="宋体"/>
                <w:sz w:val="24"/>
                <w:szCs w:val="24"/>
              </w:rPr>
            </w:pPr>
          </w:p>
        </w:tc>
      </w:tr>
      <w:tr>
        <w:tblPrEx>
          <w:tblCellMar>
            <w:top w:w="0" w:type="dxa"/>
            <w:left w:w="0" w:type="dxa"/>
            <w:bottom w:w="0" w:type="dxa"/>
            <w:right w:w="0" w:type="dxa"/>
          </w:tblCellMar>
        </w:tblPrEx>
        <w:trPr>
          <w:trHeight w:val="272" w:hRule="atLeast"/>
        </w:trPr>
        <w:tc>
          <w:tcPr>
            <w:tcW w:w="1377" w:type="dxa"/>
            <w:vMerge w:val="continue"/>
            <w:tcBorders>
              <w:top w:val="single" w:color="000000" w:sz="2" w:space="0"/>
              <w:left w:val="single" w:color="000000" w:sz="2" w:space="0"/>
              <w:bottom w:val="single" w:color="000000" w:sz="2" w:space="0"/>
              <w:right w:val="single" w:color="000000" w:sz="2" w:space="0"/>
            </w:tcBorders>
            <w:vAlign w:val="center"/>
          </w:tcPr>
          <w:p>
            <w:pPr>
              <w:widowControl/>
              <w:rPr>
                <w:rFonts w:ascii="宋体" w:hAnsi="宋体" w:cs="宋体"/>
                <w:sz w:val="24"/>
                <w:szCs w:val="24"/>
              </w:rPr>
            </w:pPr>
          </w:p>
        </w:tc>
        <w:tc>
          <w:tcPr>
            <w:tcW w:w="2023" w:type="dxa"/>
            <w:vMerge w:val="continue"/>
            <w:tcBorders>
              <w:top w:val="single" w:color="000000" w:sz="2" w:space="0"/>
              <w:left w:val="single" w:color="000000" w:sz="2" w:space="0"/>
              <w:bottom w:val="single" w:color="000000" w:sz="2" w:space="0"/>
              <w:right w:val="single" w:color="000000" w:sz="2" w:space="0"/>
            </w:tcBorders>
            <w:vAlign w:val="center"/>
          </w:tcPr>
          <w:p>
            <w:pPr>
              <w:widowControl/>
              <w:rPr>
                <w:rFonts w:ascii="宋体" w:hAnsi="宋体" w:cs="宋体"/>
                <w:sz w:val="24"/>
                <w:szCs w:val="24"/>
              </w:rPr>
            </w:pPr>
          </w:p>
        </w:tc>
        <w:tc>
          <w:tcPr>
            <w:tcW w:w="82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032" w:right="1011"/>
              <w:jc w:val="center"/>
              <w:rPr>
                <w:rFonts w:ascii="宋体" w:hAnsi="宋体" w:cs="宋体"/>
                <w:sz w:val="24"/>
                <w:szCs w:val="24"/>
              </w:rPr>
            </w:p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028" w:right="1006"/>
              <w:jc w:val="center"/>
              <w:rPr>
                <w:rFonts w:ascii="宋体" w:hAnsi="宋体" w:cs="宋体"/>
                <w:sz w:val="24"/>
                <w:szCs w:val="24"/>
              </w:rPr>
            </w:pPr>
          </w:p>
        </w:tc>
        <w:tc>
          <w:tcPr>
            <w:tcW w:w="3782"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028" w:right="1006"/>
              <w:jc w:val="center"/>
              <w:rPr>
                <w:rFonts w:ascii="宋体" w:hAnsi="宋体" w:cs="宋体"/>
                <w:sz w:val="24"/>
                <w:szCs w:val="24"/>
              </w:rPr>
            </w:pPr>
          </w:p>
        </w:tc>
      </w:tr>
      <w:tr>
        <w:tblPrEx>
          <w:tblCellMar>
            <w:top w:w="0" w:type="dxa"/>
            <w:left w:w="0" w:type="dxa"/>
            <w:bottom w:w="0" w:type="dxa"/>
            <w:right w:w="0" w:type="dxa"/>
          </w:tblCellMar>
        </w:tblPrEx>
        <w:trPr>
          <w:trHeight w:val="272" w:hRule="atLeast"/>
        </w:trPr>
        <w:tc>
          <w:tcPr>
            <w:tcW w:w="1377" w:type="dxa"/>
            <w:vMerge w:val="continue"/>
            <w:tcBorders>
              <w:top w:val="single" w:color="000000" w:sz="2" w:space="0"/>
              <w:left w:val="single" w:color="000000" w:sz="2" w:space="0"/>
              <w:bottom w:val="single" w:color="000000" w:sz="2" w:space="0"/>
              <w:right w:val="single" w:color="000000" w:sz="2" w:space="0"/>
            </w:tcBorders>
            <w:vAlign w:val="center"/>
          </w:tcPr>
          <w:p>
            <w:pPr>
              <w:widowControl/>
              <w:rPr>
                <w:rFonts w:ascii="宋体" w:hAnsi="宋体" w:cs="宋体"/>
                <w:sz w:val="24"/>
                <w:szCs w:val="24"/>
              </w:rPr>
            </w:pPr>
          </w:p>
        </w:tc>
        <w:tc>
          <w:tcPr>
            <w:tcW w:w="2023" w:type="dxa"/>
            <w:vMerge w:val="continue"/>
            <w:tcBorders>
              <w:top w:val="single" w:color="000000" w:sz="2" w:space="0"/>
              <w:left w:val="single" w:color="000000" w:sz="2" w:space="0"/>
              <w:bottom w:val="single" w:color="000000" w:sz="2" w:space="0"/>
              <w:right w:val="single" w:color="000000" w:sz="2" w:space="0"/>
            </w:tcBorders>
            <w:vAlign w:val="center"/>
          </w:tcPr>
          <w:p>
            <w:pPr>
              <w:widowControl/>
              <w:rPr>
                <w:rFonts w:ascii="宋体" w:hAnsi="宋体" w:cs="宋体"/>
                <w:sz w:val="24"/>
                <w:szCs w:val="24"/>
              </w:rPr>
            </w:pPr>
          </w:p>
        </w:tc>
        <w:tc>
          <w:tcPr>
            <w:tcW w:w="82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032" w:right="1011"/>
              <w:jc w:val="center"/>
              <w:rPr>
                <w:rFonts w:ascii="宋体" w:hAnsi="宋体" w:cs="宋体"/>
                <w:sz w:val="24"/>
                <w:szCs w:val="24"/>
              </w:rPr>
            </w:p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882" w:right="858"/>
              <w:jc w:val="center"/>
              <w:rPr>
                <w:rFonts w:ascii="宋体" w:hAnsi="宋体" w:cs="宋体"/>
                <w:sz w:val="24"/>
                <w:szCs w:val="24"/>
              </w:rPr>
            </w:pPr>
          </w:p>
        </w:tc>
        <w:tc>
          <w:tcPr>
            <w:tcW w:w="3782"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882" w:right="858"/>
              <w:jc w:val="center"/>
              <w:rPr>
                <w:rFonts w:ascii="宋体" w:hAnsi="宋体" w:cs="宋体"/>
                <w:sz w:val="24"/>
                <w:szCs w:val="24"/>
              </w:rPr>
            </w:pPr>
          </w:p>
        </w:tc>
      </w:tr>
      <w:tr>
        <w:tblPrEx>
          <w:tblCellMar>
            <w:top w:w="0" w:type="dxa"/>
            <w:left w:w="0" w:type="dxa"/>
            <w:bottom w:w="0" w:type="dxa"/>
            <w:right w:w="0" w:type="dxa"/>
          </w:tblCellMar>
        </w:tblPrEx>
        <w:trPr>
          <w:trHeight w:val="272" w:hRule="atLeast"/>
        </w:trPr>
        <w:tc>
          <w:tcPr>
            <w:tcW w:w="1377" w:type="dxa"/>
            <w:vMerge w:val="restart"/>
            <w:tcBorders>
              <w:top w:val="single" w:color="000000" w:sz="2" w:space="0"/>
              <w:left w:val="single" w:color="000000" w:sz="2" w:space="0"/>
              <w:bottom w:val="single" w:color="000000" w:sz="2" w:space="0"/>
              <w:right w:val="single" w:color="000000" w:sz="2" w:space="0"/>
            </w:tcBorders>
            <w:vAlign w:val="center"/>
          </w:tcPr>
          <w:p>
            <w:pPr>
              <w:spacing w:before="69"/>
              <w:ind w:left="479" w:right="457"/>
              <w:jc w:val="center"/>
              <w:rPr>
                <w:rFonts w:ascii="宋体" w:hAnsi="宋体" w:cs="宋体"/>
                <w:sz w:val="24"/>
                <w:szCs w:val="24"/>
              </w:rPr>
            </w:pPr>
            <w:r>
              <w:rPr>
                <w:rFonts w:hint="eastAsia" w:ascii="宋体" w:hAnsi="宋体" w:cs="宋体"/>
                <w:sz w:val="24"/>
                <w:szCs w:val="24"/>
              </w:rPr>
              <w:t>1.3</w:t>
            </w:r>
          </w:p>
        </w:tc>
        <w:tc>
          <w:tcPr>
            <w:tcW w:w="2023" w:type="dxa"/>
            <w:vMerge w:val="restart"/>
            <w:tcBorders>
              <w:top w:val="single" w:color="000000" w:sz="2" w:space="0"/>
              <w:left w:val="single" w:color="000000" w:sz="2" w:space="0"/>
              <w:bottom w:val="single" w:color="000000" w:sz="2" w:space="0"/>
              <w:right w:val="single" w:color="000000" w:sz="2" w:space="0"/>
            </w:tcBorders>
            <w:vAlign w:val="center"/>
          </w:tcPr>
          <w:p>
            <w:pPr>
              <w:spacing w:before="69"/>
              <w:ind w:left="696" w:right="-20"/>
              <w:jc w:val="center"/>
              <w:rPr>
                <w:rFonts w:ascii="宋体" w:hAnsi="宋体" w:cs="宋体"/>
                <w:sz w:val="24"/>
                <w:szCs w:val="24"/>
              </w:rPr>
            </w:pPr>
            <w:r>
              <w:rPr>
                <w:rFonts w:hint="eastAsia" w:ascii="宋体" w:hAnsi="宋体" w:cs="宋体"/>
                <w:sz w:val="24"/>
                <w:szCs w:val="24"/>
              </w:rPr>
              <w:t>…</w:t>
            </w:r>
          </w:p>
        </w:tc>
        <w:tc>
          <w:tcPr>
            <w:tcW w:w="82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032" w:right="1011"/>
              <w:jc w:val="center"/>
              <w:rPr>
                <w:rFonts w:ascii="宋体" w:hAnsi="宋体" w:cs="宋体"/>
                <w:sz w:val="24"/>
                <w:szCs w:val="24"/>
              </w:rPr>
            </w:p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872" w:right="848"/>
              <w:jc w:val="center"/>
              <w:rPr>
                <w:rFonts w:ascii="宋体" w:hAnsi="宋体" w:cs="宋体"/>
                <w:sz w:val="24"/>
                <w:szCs w:val="24"/>
              </w:rPr>
            </w:pPr>
          </w:p>
        </w:tc>
        <w:tc>
          <w:tcPr>
            <w:tcW w:w="3782"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872" w:right="848"/>
              <w:jc w:val="center"/>
              <w:rPr>
                <w:rFonts w:ascii="宋体" w:hAnsi="宋体" w:cs="宋体"/>
                <w:sz w:val="24"/>
                <w:szCs w:val="24"/>
              </w:rPr>
            </w:pPr>
          </w:p>
        </w:tc>
      </w:tr>
      <w:tr>
        <w:tblPrEx>
          <w:tblCellMar>
            <w:top w:w="0" w:type="dxa"/>
            <w:left w:w="0" w:type="dxa"/>
            <w:bottom w:w="0" w:type="dxa"/>
            <w:right w:w="0" w:type="dxa"/>
          </w:tblCellMar>
        </w:tblPrEx>
        <w:trPr>
          <w:trHeight w:val="272" w:hRule="atLeast"/>
        </w:trPr>
        <w:tc>
          <w:tcPr>
            <w:tcW w:w="1377" w:type="dxa"/>
            <w:vMerge w:val="continue"/>
            <w:tcBorders>
              <w:top w:val="single" w:color="000000" w:sz="2" w:space="0"/>
              <w:left w:val="single" w:color="000000" w:sz="2" w:space="0"/>
              <w:bottom w:val="single" w:color="000000" w:sz="2" w:space="0"/>
              <w:right w:val="single" w:color="000000" w:sz="2" w:space="0"/>
            </w:tcBorders>
            <w:vAlign w:val="center"/>
          </w:tcPr>
          <w:p>
            <w:pPr>
              <w:widowControl/>
              <w:rPr>
                <w:rFonts w:ascii="宋体" w:hAnsi="宋体" w:cs="宋体"/>
                <w:sz w:val="24"/>
                <w:szCs w:val="24"/>
              </w:rPr>
            </w:pPr>
          </w:p>
        </w:tc>
        <w:tc>
          <w:tcPr>
            <w:tcW w:w="2023" w:type="dxa"/>
            <w:vMerge w:val="continue"/>
            <w:tcBorders>
              <w:top w:val="single" w:color="000000" w:sz="2" w:space="0"/>
              <w:left w:val="single" w:color="000000" w:sz="2" w:space="0"/>
              <w:bottom w:val="single" w:color="000000" w:sz="2" w:space="0"/>
              <w:right w:val="single" w:color="000000" w:sz="2" w:space="0"/>
            </w:tcBorders>
            <w:vAlign w:val="center"/>
          </w:tcPr>
          <w:p>
            <w:pPr>
              <w:widowControl/>
              <w:rPr>
                <w:rFonts w:ascii="宋体" w:hAnsi="宋体" w:cs="宋体"/>
                <w:sz w:val="24"/>
                <w:szCs w:val="24"/>
              </w:rPr>
            </w:pPr>
          </w:p>
        </w:tc>
        <w:tc>
          <w:tcPr>
            <w:tcW w:w="826" w:type="dxa"/>
            <w:tcBorders>
              <w:top w:val="single" w:color="000000" w:sz="2" w:space="0"/>
              <w:left w:val="single" w:color="000000" w:sz="2" w:space="0"/>
              <w:bottom w:val="single" w:color="000000" w:sz="2" w:space="0"/>
              <w:right w:val="single" w:color="000000" w:sz="2" w:space="0"/>
            </w:tcBorders>
            <w:vAlign w:val="center"/>
          </w:tcPr>
          <w:p>
            <w:pPr>
              <w:spacing w:line="242" w:lineRule="exact"/>
              <w:ind w:left="1032" w:right="1011"/>
              <w:jc w:val="center"/>
              <w:rPr>
                <w:rFonts w:ascii="宋体" w:hAnsi="宋体" w:cs="宋体"/>
                <w:sz w:val="24"/>
                <w:szCs w:val="24"/>
              </w:rPr>
            </w:p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line="242" w:lineRule="exact"/>
              <w:ind w:left="882" w:right="858"/>
              <w:jc w:val="center"/>
              <w:rPr>
                <w:rFonts w:ascii="宋体" w:hAnsi="宋体" w:cs="宋体"/>
                <w:sz w:val="24"/>
                <w:szCs w:val="24"/>
              </w:rPr>
            </w:pPr>
          </w:p>
        </w:tc>
        <w:tc>
          <w:tcPr>
            <w:tcW w:w="3782" w:type="dxa"/>
            <w:tcBorders>
              <w:top w:val="single" w:color="000000" w:sz="2" w:space="0"/>
              <w:left w:val="single" w:color="000000" w:sz="2" w:space="0"/>
              <w:bottom w:val="single" w:color="000000" w:sz="2" w:space="0"/>
              <w:right w:val="single" w:color="000000" w:sz="2" w:space="0"/>
            </w:tcBorders>
            <w:vAlign w:val="center"/>
          </w:tcPr>
          <w:p>
            <w:pPr>
              <w:spacing w:line="242" w:lineRule="exact"/>
              <w:ind w:left="882" w:right="858"/>
              <w:jc w:val="center"/>
              <w:rPr>
                <w:rFonts w:ascii="宋体" w:hAnsi="宋体" w:cs="宋体"/>
                <w:sz w:val="24"/>
                <w:szCs w:val="24"/>
              </w:rPr>
            </w:pPr>
          </w:p>
        </w:tc>
      </w:tr>
    </w:tbl>
    <w:p>
      <w:pPr>
        <w:spacing w:before="9" w:line="200" w:lineRule="exact"/>
        <w:rPr>
          <w:rFonts w:ascii="宋体" w:hAnsi="宋体" w:cs="宋体"/>
          <w:sz w:val="24"/>
          <w:szCs w:val="24"/>
        </w:rPr>
      </w:pPr>
    </w:p>
    <w:p>
      <w:pPr>
        <w:spacing w:before="9" w:line="400" w:lineRule="exact"/>
        <w:rPr>
          <w:rFonts w:ascii="宋体" w:hAnsi="宋体" w:cs="宋体"/>
          <w:sz w:val="24"/>
          <w:szCs w:val="24"/>
        </w:rPr>
      </w:pPr>
    </w:p>
    <w:p>
      <w:pPr>
        <w:spacing w:before="9" w:line="400" w:lineRule="exact"/>
        <w:rPr>
          <w:rFonts w:ascii="宋体" w:hAnsi="宋体" w:cs="宋体"/>
          <w:sz w:val="24"/>
          <w:szCs w:val="24"/>
        </w:rPr>
      </w:pPr>
    </w:p>
    <w:p>
      <w:pPr>
        <w:spacing w:before="9" w:line="400" w:lineRule="exact"/>
        <w:rPr>
          <w:rFonts w:ascii="宋体" w:hAnsi="宋体" w:cs="宋体"/>
          <w:sz w:val="24"/>
          <w:szCs w:val="24"/>
        </w:rPr>
      </w:pPr>
    </w:p>
    <w:p>
      <w:pPr>
        <w:spacing w:before="9" w:line="400" w:lineRule="exact"/>
        <w:rPr>
          <w:rFonts w:ascii="宋体" w:hAnsi="宋体" w:cs="宋体"/>
          <w:sz w:val="24"/>
          <w:szCs w:val="24"/>
        </w:rPr>
      </w:pPr>
    </w:p>
    <w:p>
      <w:pPr>
        <w:spacing w:before="9" w:line="400" w:lineRule="exact"/>
        <w:rPr>
          <w:rFonts w:ascii="宋体" w:hAnsi="宋体" w:cs="宋体"/>
          <w:sz w:val="24"/>
          <w:szCs w:val="24"/>
        </w:rPr>
      </w:pPr>
    </w:p>
    <w:p>
      <w:pPr>
        <w:spacing w:before="9" w:line="400" w:lineRule="exact"/>
        <w:rPr>
          <w:rFonts w:ascii="宋体" w:hAnsi="宋体" w:cs="宋体"/>
          <w:sz w:val="24"/>
          <w:szCs w:val="24"/>
        </w:rPr>
      </w:pPr>
    </w:p>
    <w:p>
      <w:pPr>
        <w:spacing w:before="9" w:line="400" w:lineRule="exact"/>
        <w:rPr>
          <w:rFonts w:ascii="宋体" w:hAnsi="宋体" w:cs="宋体"/>
          <w:sz w:val="24"/>
          <w:szCs w:val="24"/>
          <w:lang w:eastAsia="zh-CN"/>
        </w:rPr>
      </w:pPr>
      <w:r>
        <w:rPr>
          <w:rFonts w:hint="eastAsia" w:ascii="宋体" w:hAnsi="宋体" w:cs="宋体"/>
          <w:sz w:val="24"/>
          <w:szCs w:val="24"/>
          <w:lang w:eastAsia="zh-CN"/>
        </w:rPr>
        <w:t>13.2货物技术明细表（样表）</w:t>
      </w:r>
    </w:p>
    <w:tbl>
      <w:tblPr>
        <w:tblStyle w:val="23"/>
        <w:tblW w:w="9791"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685"/>
        <w:gridCol w:w="685"/>
        <w:gridCol w:w="1142"/>
        <w:gridCol w:w="1120"/>
        <w:gridCol w:w="426"/>
        <w:gridCol w:w="473"/>
        <w:gridCol w:w="719"/>
        <w:gridCol w:w="1053"/>
        <w:gridCol w:w="463"/>
        <w:gridCol w:w="652"/>
        <w:gridCol w:w="1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编号</w:t>
            </w:r>
          </w:p>
        </w:tc>
        <w:tc>
          <w:tcPr>
            <w:tcW w:w="685"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货物名称</w:t>
            </w:r>
          </w:p>
        </w:tc>
        <w:tc>
          <w:tcPr>
            <w:tcW w:w="685"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指标项</w:t>
            </w:r>
          </w:p>
        </w:tc>
        <w:tc>
          <w:tcPr>
            <w:tcW w:w="1142"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重要程度</w:t>
            </w:r>
          </w:p>
        </w:tc>
        <w:tc>
          <w:tcPr>
            <w:tcW w:w="1120"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技术指标要求</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证明材料</w:t>
            </w:r>
          </w:p>
        </w:tc>
        <w:tc>
          <w:tcPr>
            <w:tcW w:w="473"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品牌</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型号</w:t>
            </w:r>
          </w:p>
        </w:tc>
        <w:tc>
          <w:tcPr>
            <w:tcW w:w="1053"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详细技术指标</w:t>
            </w:r>
          </w:p>
        </w:tc>
        <w:tc>
          <w:tcPr>
            <w:tcW w:w="463"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偏离</w:t>
            </w:r>
          </w:p>
        </w:tc>
        <w:tc>
          <w:tcPr>
            <w:tcW w:w="652"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偏离说明</w:t>
            </w:r>
          </w:p>
        </w:tc>
        <w:tc>
          <w:tcPr>
            <w:tcW w:w="1086" w:type="dxa"/>
            <w:tcBorders>
              <w:top w:val="single" w:color="000000" w:sz="4" w:space="0"/>
              <w:left w:val="single" w:color="000000" w:sz="4" w:space="0"/>
              <w:bottom w:val="single" w:color="000000" w:sz="4" w:space="0"/>
              <w:right w:val="single" w:color="000000" w:sz="4" w:space="0"/>
            </w:tcBorders>
            <w:vAlign w:val="center"/>
          </w:tcPr>
          <w:p>
            <w:pPr>
              <w:spacing w:before="9" w:after="200" w:line="360" w:lineRule="auto"/>
              <w:jc w:val="center"/>
              <w:rPr>
                <w:rFonts w:ascii="宋体" w:hAnsi="宋体" w:cs="宋体"/>
                <w:sz w:val="24"/>
                <w:szCs w:val="24"/>
              </w:rPr>
            </w:pPr>
            <w:r>
              <w:rPr>
                <w:rFonts w:hint="eastAsia" w:ascii="宋体" w:hAnsi="宋体" w:cs="宋体"/>
                <w:sz w:val="24"/>
                <w:szCs w:val="24"/>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87" w:type="dxa"/>
            <w:vMerge w:val="restart"/>
            <w:tcBorders>
              <w:top w:val="single" w:color="000000" w:sz="4" w:space="0"/>
              <w:left w:val="single" w:color="000000" w:sz="4" w:space="0"/>
              <w:bottom w:val="single" w:color="000000" w:sz="4" w:space="0"/>
              <w:right w:val="single" w:color="000000" w:sz="4" w:space="0"/>
            </w:tcBorders>
            <w:vAlign w:val="center"/>
          </w:tcPr>
          <w:p>
            <w:pPr>
              <w:spacing w:before="9" w:after="200" w:line="200" w:lineRule="exact"/>
              <w:jc w:val="center"/>
              <w:rPr>
                <w:rFonts w:ascii="宋体" w:hAnsi="宋体" w:cs="宋体"/>
                <w:sz w:val="24"/>
                <w:szCs w:val="24"/>
              </w:rPr>
            </w:pPr>
            <w:r>
              <w:rPr>
                <w:rFonts w:hint="eastAsia" w:ascii="宋体" w:hAnsi="宋体" w:cs="宋体"/>
                <w:sz w:val="24"/>
                <w:szCs w:val="24"/>
              </w:rPr>
              <w:t>3.1</w:t>
            </w:r>
          </w:p>
        </w:tc>
        <w:tc>
          <w:tcPr>
            <w:tcW w:w="685" w:type="dxa"/>
            <w:vMerge w:val="restart"/>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4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20"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7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719"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5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6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65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8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szCs w:val="24"/>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4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20"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7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719"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5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6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65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8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szCs w:val="24"/>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4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20"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7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719"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5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6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65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8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87" w:type="dxa"/>
            <w:vMerge w:val="restart"/>
            <w:tcBorders>
              <w:top w:val="single" w:color="000000" w:sz="4" w:space="0"/>
              <w:left w:val="single" w:color="000000" w:sz="4" w:space="0"/>
              <w:bottom w:val="single" w:color="000000" w:sz="4" w:space="0"/>
              <w:right w:val="single" w:color="000000" w:sz="4" w:space="0"/>
            </w:tcBorders>
            <w:vAlign w:val="center"/>
          </w:tcPr>
          <w:p>
            <w:pPr>
              <w:spacing w:before="9" w:after="200" w:line="200" w:lineRule="exact"/>
              <w:jc w:val="center"/>
              <w:rPr>
                <w:rFonts w:ascii="宋体" w:hAnsi="宋体" w:cs="宋体"/>
                <w:sz w:val="24"/>
                <w:szCs w:val="24"/>
              </w:rPr>
            </w:pPr>
            <w:r>
              <w:rPr>
                <w:rFonts w:hint="eastAsia" w:ascii="宋体" w:hAnsi="宋体" w:cs="宋体"/>
                <w:sz w:val="24"/>
                <w:szCs w:val="24"/>
              </w:rPr>
              <w:t>3.2</w:t>
            </w:r>
          </w:p>
        </w:tc>
        <w:tc>
          <w:tcPr>
            <w:tcW w:w="685" w:type="dxa"/>
            <w:vMerge w:val="restart"/>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4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20"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7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719"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5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6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65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8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szCs w:val="24"/>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4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20"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7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719"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5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6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65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8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szCs w:val="24"/>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4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20"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7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719"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5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6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65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8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87" w:type="dxa"/>
            <w:vMerge w:val="restart"/>
            <w:tcBorders>
              <w:top w:val="single" w:color="000000" w:sz="4" w:space="0"/>
              <w:left w:val="single" w:color="000000" w:sz="4" w:space="0"/>
              <w:bottom w:val="single" w:color="000000" w:sz="4" w:space="0"/>
              <w:right w:val="single" w:color="000000" w:sz="4" w:space="0"/>
            </w:tcBorders>
            <w:vAlign w:val="center"/>
          </w:tcPr>
          <w:p>
            <w:pPr>
              <w:spacing w:before="9" w:after="200" w:line="200" w:lineRule="exact"/>
              <w:jc w:val="center"/>
              <w:rPr>
                <w:rFonts w:ascii="宋体" w:hAnsi="宋体" w:cs="宋体"/>
                <w:sz w:val="24"/>
                <w:szCs w:val="24"/>
              </w:rPr>
            </w:pPr>
            <w:r>
              <w:rPr>
                <w:rFonts w:hint="eastAsia" w:ascii="宋体" w:hAnsi="宋体" w:cs="宋体"/>
                <w:sz w:val="24"/>
                <w:szCs w:val="24"/>
              </w:rPr>
              <w:t>3.3</w:t>
            </w:r>
          </w:p>
        </w:tc>
        <w:tc>
          <w:tcPr>
            <w:tcW w:w="685" w:type="dxa"/>
            <w:vMerge w:val="restart"/>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r>
              <w:rPr>
                <w:rFonts w:hint="eastAsia" w:ascii="宋体" w:hAnsi="宋体" w:cs="宋体"/>
                <w:sz w:val="24"/>
                <w:szCs w:val="24"/>
              </w:rPr>
              <w:t>…</w:t>
            </w:r>
          </w:p>
        </w:tc>
        <w:tc>
          <w:tcPr>
            <w:tcW w:w="685"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4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20"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7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719"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5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6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65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8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8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4"/>
                <w:szCs w:val="24"/>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4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20"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7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719"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5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6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65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8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8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4"/>
                <w:szCs w:val="24"/>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4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120"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7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719"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5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463"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652"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c>
          <w:tcPr>
            <w:tcW w:w="1086" w:type="dxa"/>
            <w:tcBorders>
              <w:top w:val="single" w:color="000000" w:sz="4" w:space="0"/>
              <w:left w:val="single" w:color="000000" w:sz="4" w:space="0"/>
              <w:bottom w:val="single" w:color="000000" w:sz="4" w:space="0"/>
              <w:right w:val="single" w:color="000000" w:sz="4" w:space="0"/>
            </w:tcBorders>
          </w:tcPr>
          <w:p>
            <w:pPr>
              <w:spacing w:before="9" w:after="200" w:line="200" w:lineRule="exact"/>
              <w:rPr>
                <w:rFonts w:ascii="宋体" w:hAnsi="宋体" w:cs="宋体"/>
                <w:sz w:val="24"/>
                <w:szCs w:val="24"/>
              </w:rPr>
            </w:pPr>
          </w:p>
        </w:tc>
      </w:tr>
    </w:tbl>
    <w:p>
      <w:pPr>
        <w:spacing w:before="9" w:line="200" w:lineRule="exact"/>
        <w:rPr>
          <w:rFonts w:ascii="宋体" w:hAnsi="宋体" w:cs="宋体"/>
          <w:sz w:val="24"/>
          <w:szCs w:val="24"/>
        </w:rPr>
      </w:pPr>
    </w:p>
    <w:p>
      <w:pPr>
        <w:spacing w:line="271" w:lineRule="exact"/>
        <w:ind w:right="-20"/>
        <w:rPr>
          <w:rFonts w:ascii="宋体" w:hAnsi="宋体" w:cs="宋体"/>
          <w:sz w:val="24"/>
          <w:szCs w:val="24"/>
        </w:rPr>
      </w:pPr>
    </w:p>
    <w:p>
      <w:pPr>
        <w:spacing w:line="271" w:lineRule="exact"/>
        <w:ind w:right="-20"/>
        <w:rPr>
          <w:rFonts w:ascii="宋体" w:hAnsi="宋体" w:cs="宋体"/>
          <w:sz w:val="24"/>
          <w:szCs w:val="24"/>
        </w:rPr>
      </w:pPr>
      <w:r>
        <w:rPr>
          <w:rFonts w:hint="eastAsia" w:ascii="宋体" w:hAnsi="宋体" w:cs="宋体"/>
          <w:sz w:val="24"/>
          <w:szCs w:val="24"/>
        </w:rPr>
        <w:t>13.3服务要求（样表）</w:t>
      </w:r>
    </w:p>
    <w:p>
      <w:pPr>
        <w:spacing w:before="9" w:line="80" w:lineRule="exact"/>
        <w:rPr>
          <w:rFonts w:ascii="宋体" w:hAnsi="宋体" w:cs="宋体"/>
          <w:sz w:val="24"/>
          <w:szCs w:val="24"/>
        </w:rPr>
      </w:pPr>
    </w:p>
    <w:tbl>
      <w:tblPr>
        <w:tblStyle w:val="23"/>
        <w:tblW w:w="9780" w:type="dxa"/>
        <w:tblInd w:w="-709" w:type="dxa"/>
        <w:tblLayout w:type="fixed"/>
        <w:tblCellMar>
          <w:top w:w="0" w:type="dxa"/>
          <w:left w:w="0" w:type="dxa"/>
          <w:bottom w:w="0" w:type="dxa"/>
          <w:right w:w="0" w:type="dxa"/>
        </w:tblCellMar>
      </w:tblPr>
      <w:tblGrid>
        <w:gridCol w:w="1680"/>
        <w:gridCol w:w="1340"/>
        <w:gridCol w:w="1338"/>
        <w:gridCol w:w="1336"/>
        <w:gridCol w:w="1336"/>
        <w:gridCol w:w="657"/>
        <w:gridCol w:w="2093"/>
      </w:tblGrid>
      <w:tr>
        <w:tblPrEx>
          <w:tblCellMar>
            <w:top w:w="0" w:type="dxa"/>
            <w:left w:w="0" w:type="dxa"/>
            <w:bottom w:w="0" w:type="dxa"/>
            <w:right w:w="0" w:type="dxa"/>
          </w:tblCellMar>
        </w:tblPrEx>
        <w:trPr>
          <w:trHeight w:val="278" w:hRule="exact"/>
        </w:trPr>
        <w:tc>
          <w:tcPr>
            <w:tcW w:w="1680" w:type="dxa"/>
            <w:tcBorders>
              <w:top w:val="single" w:color="000000" w:sz="2" w:space="0"/>
              <w:left w:val="single" w:color="000000" w:sz="2" w:space="0"/>
              <w:bottom w:val="single" w:color="000000" w:sz="2" w:space="0"/>
              <w:right w:val="single" w:color="000000" w:sz="2" w:space="0"/>
            </w:tcBorders>
          </w:tcPr>
          <w:p>
            <w:pPr>
              <w:spacing w:line="240" w:lineRule="exact"/>
              <w:ind w:right="-20" w:firstLine="240" w:firstLineChars="100"/>
              <w:rPr>
                <w:rFonts w:ascii="宋体" w:hAnsi="宋体" w:cs="宋体"/>
                <w:sz w:val="24"/>
                <w:szCs w:val="24"/>
              </w:rPr>
            </w:pPr>
            <w:r>
              <w:rPr>
                <w:rFonts w:hint="eastAsia" w:ascii="宋体" w:hAnsi="宋体" w:cs="宋体"/>
                <w:position w:val="-2"/>
                <w:sz w:val="24"/>
                <w:szCs w:val="24"/>
              </w:rPr>
              <w:t>编号</w:t>
            </w:r>
          </w:p>
        </w:tc>
        <w:tc>
          <w:tcPr>
            <w:tcW w:w="1340" w:type="dxa"/>
            <w:tcBorders>
              <w:top w:val="single" w:color="000000" w:sz="2" w:space="0"/>
              <w:left w:val="single" w:color="000000" w:sz="2" w:space="0"/>
              <w:bottom w:val="single" w:color="000000" w:sz="2" w:space="0"/>
              <w:right w:val="single" w:color="000000" w:sz="2" w:space="0"/>
            </w:tcBorders>
          </w:tcPr>
          <w:p>
            <w:pPr>
              <w:spacing w:line="240" w:lineRule="exact"/>
              <w:ind w:right="-20" w:firstLine="240" w:firstLineChars="100"/>
              <w:rPr>
                <w:rFonts w:ascii="宋体" w:hAnsi="宋体" w:cs="宋体"/>
                <w:sz w:val="24"/>
                <w:szCs w:val="24"/>
              </w:rPr>
            </w:pPr>
            <w:r>
              <w:rPr>
                <w:rFonts w:hint="eastAsia" w:ascii="宋体" w:hAnsi="宋体" w:cs="宋体"/>
                <w:position w:val="-2"/>
                <w:sz w:val="24"/>
                <w:szCs w:val="24"/>
              </w:rPr>
              <w:t>服务名称</w:t>
            </w:r>
          </w:p>
        </w:tc>
        <w:tc>
          <w:tcPr>
            <w:tcW w:w="1338" w:type="dxa"/>
            <w:tcBorders>
              <w:top w:val="single" w:color="000000" w:sz="2" w:space="0"/>
              <w:left w:val="single" w:color="000000" w:sz="2" w:space="0"/>
              <w:bottom w:val="single" w:color="000000" w:sz="2" w:space="0"/>
              <w:right w:val="single" w:color="000000" w:sz="2" w:space="0"/>
            </w:tcBorders>
          </w:tcPr>
          <w:p>
            <w:pPr>
              <w:spacing w:line="240" w:lineRule="exact"/>
              <w:ind w:right="-20"/>
              <w:rPr>
                <w:rFonts w:ascii="宋体" w:hAnsi="宋体" w:cs="宋体"/>
                <w:sz w:val="24"/>
                <w:szCs w:val="24"/>
              </w:rPr>
            </w:pPr>
            <w:r>
              <w:rPr>
                <w:rFonts w:hint="eastAsia" w:ascii="宋体" w:hAnsi="宋体" w:cs="宋体"/>
                <w:position w:val="-2"/>
                <w:sz w:val="24"/>
                <w:szCs w:val="24"/>
              </w:rPr>
              <w:t>重要程度</w:t>
            </w:r>
          </w:p>
        </w:tc>
        <w:tc>
          <w:tcPr>
            <w:tcW w:w="1336" w:type="dxa"/>
            <w:tcBorders>
              <w:top w:val="single" w:color="000000" w:sz="2" w:space="0"/>
              <w:left w:val="single" w:color="000000" w:sz="2" w:space="0"/>
              <w:bottom w:val="single" w:color="000000" w:sz="2" w:space="0"/>
              <w:right w:val="single" w:color="000000" w:sz="2" w:space="0"/>
            </w:tcBorders>
          </w:tcPr>
          <w:p>
            <w:pPr>
              <w:spacing w:line="240" w:lineRule="exact"/>
              <w:ind w:right="-20"/>
              <w:rPr>
                <w:rFonts w:ascii="宋体" w:hAnsi="宋体" w:cs="宋体"/>
                <w:sz w:val="24"/>
                <w:szCs w:val="24"/>
              </w:rPr>
            </w:pPr>
            <w:r>
              <w:rPr>
                <w:rFonts w:hint="eastAsia" w:ascii="宋体" w:hAnsi="宋体" w:cs="宋体"/>
                <w:position w:val="-2"/>
                <w:sz w:val="24"/>
                <w:szCs w:val="24"/>
              </w:rPr>
              <w:t>服务要求</w:t>
            </w:r>
          </w:p>
        </w:tc>
        <w:tc>
          <w:tcPr>
            <w:tcW w:w="1336" w:type="dxa"/>
            <w:tcBorders>
              <w:top w:val="single" w:color="000000" w:sz="2" w:space="0"/>
              <w:left w:val="single" w:color="000000" w:sz="2" w:space="0"/>
              <w:bottom w:val="single" w:color="000000" w:sz="2" w:space="0"/>
              <w:right w:val="single" w:color="000000" w:sz="2" w:space="0"/>
            </w:tcBorders>
          </w:tcPr>
          <w:p>
            <w:pPr>
              <w:spacing w:line="240" w:lineRule="exact"/>
              <w:ind w:right="-20"/>
              <w:rPr>
                <w:rFonts w:ascii="宋体" w:hAnsi="宋体" w:cs="宋体"/>
                <w:sz w:val="24"/>
                <w:szCs w:val="24"/>
              </w:rPr>
            </w:pPr>
            <w:r>
              <w:rPr>
                <w:rFonts w:hint="eastAsia" w:ascii="宋体" w:hAnsi="宋体" w:cs="宋体"/>
                <w:position w:val="-2"/>
                <w:sz w:val="24"/>
                <w:szCs w:val="24"/>
              </w:rPr>
              <w:t>响应内容</w:t>
            </w:r>
          </w:p>
        </w:tc>
        <w:tc>
          <w:tcPr>
            <w:tcW w:w="657" w:type="dxa"/>
            <w:tcBorders>
              <w:top w:val="single" w:color="000000" w:sz="2" w:space="0"/>
              <w:left w:val="single" w:color="000000" w:sz="2" w:space="0"/>
              <w:bottom w:val="single" w:color="000000" w:sz="2" w:space="0"/>
              <w:right w:val="single" w:color="000000" w:sz="2" w:space="0"/>
            </w:tcBorders>
          </w:tcPr>
          <w:p>
            <w:pPr>
              <w:spacing w:line="240" w:lineRule="exact"/>
              <w:ind w:right="-20"/>
              <w:rPr>
                <w:rFonts w:ascii="宋体" w:hAnsi="宋体" w:cs="宋体"/>
                <w:position w:val="-2"/>
                <w:sz w:val="24"/>
                <w:szCs w:val="24"/>
              </w:rPr>
            </w:pPr>
            <w:r>
              <w:rPr>
                <w:rFonts w:hint="eastAsia" w:ascii="宋体" w:hAnsi="宋体" w:cs="宋体"/>
                <w:position w:val="-2"/>
                <w:sz w:val="24"/>
                <w:szCs w:val="24"/>
              </w:rPr>
              <w:t>偏离</w:t>
            </w:r>
          </w:p>
        </w:tc>
        <w:tc>
          <w:tcPr>
            <w:tcW w:w="2093" w:type="dxa"/>
            <w:tcBorders>
              <w:top w:val="single" w:color="000000" w:sz="2" w:space="0"/>
              <w:left w:val="single" w:color="000000" w:sz="2" w:space="0"/>
              <w:bottom w:val="single" w:color="000000" w:sz="2" w:space="0"/>
              <w:right w:val="single" w:color="000000" w:sz="2" w:space="0"/>
            </w:tcBorders>
          </w:tcPr>
          <w:p>
            <w:pPr>
              <w:spacing w:line="240" w:lineRule="exact"/>
              <w:ind w:right="-20"/>
              <w:rPr>
                <w:rFonts w:ascii="宋体" w:hAnsi="宋体" w:cs="宋体"/>
                <w:position w:val="-2"/>
                <w:sz w:val="24"/>
                <w:szCs w:val="24"/>
              </w:rPr>
            </w:pPr>
            <w:r>
              <w:rPr>
                <w:rFonts w:hint="eastAsia" w:ascii="宋体" w:hAnsi="宋体" w:cs="宋体"/>
                <w:position w:val="-2"/>
                <w:sz w:val="24"/>
                <w:szCs w:val="24"/>
              </w:rPr>
              <w:t>偏离说明</w:t>
            </w:r>
          </w:p>
        </w:tc>
      </w:tr>
      <w:tr>
        <w:tblPrEx>
          <w:tblCellMar>
            <w:top w:w="0" w:type="dxa"/>
            <w:left w:w="0" w:type="dxa"/>
            <w:bottom w:w="0" w:type="dxa"/>
            <w:right w:w="0" w:type="dxa"/>
          </w:tblCellMar>
        </w:tblPrEx>
        <w:trPr>
          <w:trHeight w:val="276" w:hRule="exact"/>
        </w:trPr>
        <w:tc>
          <w:tcPr>
            <w:tcW w:w="1680" w:type="dxa"/>
            <w:tcBorders>
              <w:top w:val="single" w:color="000000" w:sz="2" w:space="0"/>
              <w:left w:val="single" w:color="000000" w:sz="2" w:space="0"/>
              <w:bottom w:val="single" w:color="000000" w:sz="2" w:space="0"/>
              <w:right w:val="single" w:color="000000" w:sz="2" w:space="0"/>
            </w:tcBorders>
          </w:tcPr>
          <w:p>
            <w:pPr>
              <w:spacing w:line="240" w:lineRule="exact"/>
              <w:ind w:left="301" w:right="-20"/>
              <w:rPr>
                <w:rFonts w:ascii="宋体" w:hAnsi="宋体" w:cs="宋体"/>
                <w:sz w:val="24"/>
                <w:szCs w:val="24"/>
              </w:rPr>
            </w:pPr>
            <w:r>
              <w:rPr>
                <w:rFonts w:hint="eastAsia" w:ascii="宋体" w:hAnsi="宋体" w:cs="宋体"/>
                <w:position w:val="-2"/>
                <w:sz w:val="24"/>
                <w:szCs w:val="24"/>
              </w:rPr>
              <w:t>4.1</w:t>
            </w:r>
          </w:p>
        </w:tc>
        <w:tc>
          <w:tcPr>
            <w:tcW w:w="1340" w:type="dxa"/>
            <w:tcBorders>
              <w:top w:val="single" w:color="000000" w:sz="2" w:space="0"/>
              <w:left w:val="single" w:color="000000" w:sz="2" w:space="0"/>
              <w:bottom w:val="single" w:color="000000" w:sz="2" w:space="0"/>
              <w:right w:val="single" w:color="000000" w:sz="2" w:space="0"/>
            </w:tcBorders>
          </w:tcPr>
          <w:p>
            <w:pPr>
              <w:spacing w:line="240" w:lineRule="exact"/>
              <w:ind w:left="438" w:right="-20"/>
              <w:rPr>
                <w:rFonts w:ascii="宋体" w:hAnsi="宋体" w:cs="宋体"/>
                <w:sz w:val="24"/>
                <w:szCs w:val="24"/>
              </w:rPr>
            </w:pPr>
          </w:p>
        </w:tc>
        <w:tc>
          <w:tcPr>
            <w:tcW w:w="1338" w:type="dxa"/>
            <w:tcBorders>
              <w:top w:val="single" w:color="000000" w:sz="2" w:space="0"/>
              <w:left w:val="single" w:color="000000" w:sz="2" w:space="0"/>
              <w:bottom w:val="single" w:color="000000" w:sz="2" w:space="0"/>
              <w:right w:val="single" w:color="000000" w:sz="2" w:space="0"/>
            </w:tcBorders>
          </w:tcPr>
          <w:p>
            <w:pPr>
              <w:spacing w:line="240" w:lineRule="exact"/>
              <w:ind w:left="623" w:right="606"/>
              <w:jc w:val="center"/>
              <w:rPr>
                <w:rFonts w:ascii="宋体" w:hAnsi="宋体" w:cs="宋体"/>
                <w:sz w:val="24"/>
                <w:szCs w:val="24"/>
              </w:rPr>
            </w:pPr>
          </w:p>
        </w:tc>
        <w:tc>
          <w:tcPr>
            <w:tcW w:w="1336" w:type="dxa"/>
            <w:tcBorders>
              <w:top w:val="single" w:color="000000" w:sz="2" w:space="0"/>
              <w:left w:val="single" w:color="000000" w:sz="2" w:space="0"/>
              <w:bottom w:val="single" w:color="000000" w:sz="2" w:space="0"/>
              <w:right w:val="single" w:color="000000" w:sz="2" w:space="0"/>
            </w:tcBorders>
          </w:tcPr>
          <w:p>
            <w:pPr>
              <w:spacing w:line="240" w:lineRule="exact"/>
              <w:ind w:left="573" w:right="550"/>
              <w:jc w:val="center"/>
              <w:rPr>
                <w:rFonts w:ascii="宋体" w:hAnsi="宋体" w:cs="宋体"/>
                <w:sz w:val="24"/>
                <w:szCs w:val="24"/>
              </w:rPr>
            </w:pPr>
          </w:p>
        </w:tc>
        <w:tc>
          <w:tcPr>
            <w:tcW w:w="1336" w:type="dxa"/>
            <w:tcBorders>
              <w:top w:val="single" w:color="000000" w:sz="2" w:space="0"/>
              <w:left w:val="single" w:color="000000" w:sz="2" w:space="0"/>
              <w:bottom w:val="single" w:color="000000" w:sz="2" w:space="0"/>
              <w:right w:val="single" w:color="000000" w:sz="2" w:space="0"/>
            </w:tcBorders>
          </w:tcPr>
          <w:p>
            <w:pPr>
              <w:spacing w:line="240" w:lineRule="exact"/>
              <w:ind w:left="474" w:right="-20"/>
              <w:rPr>
                <w:rFonts w:ascii="宋体" w:hAnsi="宋体" w:cs="宋体"/>
                <w:sz w:val="24"/>
                <w:szCs w:val="24"/>
              </w:rPr>
            </w:pPr>
          </w:p>
        </w:tc>
        <w:tc>
          <w:tcPr>
            <w:tcW w:w="657" w:type="dxa"/>
            <w:tcBorders>
              <w:top w:val="single" w:color="000000" w:sz="2" w:space="0"/>
              <w:left w:val="single" w:color="000000" w:sz="2" w:space="0"/>
              <w:bottom w:val="single" w:color="000000" w:sz="2" w:space="0"/>
              <w:right w:val="single" w:color="000000" w:sz="2" w:space="0"/>
            </w:tcBorders>
          </w:tcPr>
          <w:p>
            <w:pPr>
              <w:spacing w:line="240" w:lineRule="exact"/>
              <w:ind w:left="474" w:right="-20"/>
              <w:rPr>
                <w:rFonts w:ascii="宋体" w:hAnsi="宋体" w:cs="宋体"/>
                <w:sz w:val="24"/>
                <w:szCs w:val="24"/>
              </w:rPr>
            </w:pPr>
          </w:p>
        </w:tc>
        <w:tc>
          <w:tcPr>
            <w:tcW w:w="2093" w:type="dxa"/>
            <w:tcBorders>
              <w:top w:val="single" w:color="000000" w:sz="2" w:space="0"/>
              <w:left w:val="single" w:color="000000" w:sz="2" w:space="0"/>
              <w:bottom w:val="single" w:color="000000" w:sz="2" w:space="0"/>
              <w:right w:val="single" w:color="000000" w:sz="2" w:space="0"/>
            </w:tcBorders>
          </w:tcPr>
          <w:p>
            <w:pPr>
              <w:spacing w:line="240" w:lineRule="exact"/>
              <w:ind w:left="474" w:right="-20"/>
              <w:rPr>
                <w:rFonts w:ascii="宋体" w:hAnsi="宋体" w:cs="宋体"/>
                <w:sz w:val="24"/>
                <w:szCs w:val="24"/>
              </w:rPr>
            </w:pPr>
          </w:p>
        </w:tc>
      </w:tr>
      <w:tr>
        <w:tblPrEx>
          <w:tblCellMar>
            <w:top w:w="0" w:type="dxa"/>
            <w:left w:w="0" w:type="dxa"/>
            <w:bottom w:w="0" w:type="dxa"/>
            <w:right w:w="0" w:type="dxa"/>
          </w:tblCellMar>
        </w:tblPrEx>
        <w:trPr>
          <w:trHeight w:val="276" w:hRule="exact"/>
        </w:trPr>
        <w:tc>
          <w:tcPr>
            <w:tcW w:w="1680" w:type="dxa"/>
            <w:tcBorders>
              <w:top w:val="single" w:color="000000" w:sz="2" w:space="0"/>
              <w:left w:val="single" w:color="000000" w:sz="2" w:space="0"/>
              <w:bottom w:val="single" w:color="000000" w:sz="2" w:space="0"/>
              <w:right w:val="single" w:color="000000" w:sz="2" w:space="0"/>
            </w:tcBorders>
          </w:tcPr>
          <w:p>
            <w:pPr>
              <w:spacing w:line="240" w:lineRule="exact"/>
              <w:ind w:left="301" w:right="-20"/>
              <w:rPr>
                <w:rFonts w:ascii="宋体" w:hAnsi="宋体" w:cs="宋体"/>
                <w:position w:val="-2"/>
                <w:sz w:val="24"/>
                <w:szCs w:val="24"/>
              </w:rPr>
            </w:pPr>
            <w:r>
              <w:rPr>
                <w:rFonts w:hint="eastAsia" w:ascii="宋体" w:hAnsi="宋体" w:cs="宋体"/>
                <w:position w:val="-2"/>
                <w:sz w:val="24"/>
                <w:szCs w:val="24"/>
              </w:rPr>
              <w:t>4.2</w:t>
            </w:r>
          </w:p>
        </w:tc>
        <w:tc>
          <w:tcPr>
            <w:tcW w:w="1340" w:type="dxa"/>
            <w:tcBorders>
              <w:top w:val="single" w:color="000000" w:sz="2" w:space="0"/>
              <w:left w:val="single" w:color="000000" w:sz="2" w:space="0"/>
              <w:bottom w:val="single" w:color="000000" w:sz="2" w:space="0"/>
              <w:right w:val="single" w:color="000000" w:sz="2" w:space="0"/>
            </w:tcBorders>
          </w:tcPr>
          <w:p>
            <w:pPr>
              <w:spacing w:line="240" w:lineRule="exact"/>
              <w:ind w:left="438" w:right="-20"/>
              <w:rPr>
                <w:rFonts w:ascii="宋体" w:hAnsi="宋体" w:cs="宋体"/>
                <w:position w:val="-2"/>
                <w:sz w:val="24"/>
                <w:szCs w:val="24"/>
              </w:rPr>
            </w:pPr>
          </w:p>
        </w:tc>
        <w:tc>
          <w:tcPr>
            <w:tcW w:w="1338" w:type="dxa"/>
            <w:tcBorders>
              <w:top w:val="single" w:color="000000" w:sz="2" w:space="0"/>
              <w:left w:val="single" w:color="000000" w:sz="2" w:space="0"/>
              <w:bottom w:val="single" w:color="000000" w:sz="2" w:space="0"/>
              <w:right w:val="single" w:color="000000" w:sz="2" w:space="0"/>
            </w:tcBorders>
          </w:tcPr>
          <w:p>
            <w:pPr>
              <w:spacing w:line="240" w:lineRule="exact"/>
              <w:ind w:left="623" w:right="606"/>
              <w:jc w:val="center"/>
              <w:rPr>
                <w:rFonts w:ascii="宋体" w:hAnsi="宋体" w:cs="宋体"/>
                <w:position w:val="-2"/>
                <w:sz w:val="24"/>
                <w:szCs w:val="24"/>
              </w:rPr>
            </w:pPr>
          </w:p>
        </w:tc>
        <w:tc>
          <w:tcPr>
            <w:tcW w:w="1336" w:type="dxa"/>
            <w:tcBorders>
              <w:top w:val="single" w:color="000000" w:sz="2" w:space="0"/>
              <w:left w:val="single" w:color="000000" w:sz="2" w:space="0"/>
              <w:bottom w:val="single" w:color="000000" w:sz="2" w:space="0"/>
              <w:right w:val="single" w:color="000000" w:sz="2" w:space="0"/>
            </w:tcBorders>
          </w:tcPr>
          <w:p>
            <w:pPr>
              <w:spacing w:line="240" w:lineRule="exact"/>
              <w:ind w:left="573" w:right="550"/>
              <w:jc w:val="center"/>
              <w:rPr>
                <w:rFonts w:ascii="宋体" w:hAnsi="宋体" w:cs="宋体"/>
                <w:position w:val="-2"/>
                <w:sz w:val="24"/>
                <w:szCs w:val="24"/>
              </w:rPr>
            </w:pPr>
          </w:p>
        </w:tc>
        <w:tc>
          <w:tcPr>
            <w:tcW w:w="1336" w:type="dxa"/>
            <w:tcBorders>
              <w:top w:val="single" w:color="000000" w:sz="2" w:space="0"/>
              <w:left w:val="single" w:color="000000" w:sz="2" w:space="0"/>
              <w:bottom w:val="single" w:color="000000" w:sz="2" w:space="0"/>
              <w:right w:val="single" w:color="000000" w:sz="2" w:space="0"/>
            </w:tcBorders>
          </w:tcPr>
          <w:p>
            <w:pPr>
              <w:spacing w:line="240" w:lineRule="exact"/>
              <w:ind w:left="474" w:right="-20"/>
              <w:rPr>
                <w:rFonts w:ascii="宋体" w:hAnsi="宋体" w:cs="宋体"/>
                <w:position w:val="-2"/>
                <w:sz w:val="24"/>
                <w:szCs w:val="24"/>
              </w:rPr>
            </w:pPr>
          </w:p>
        </w:tc>
        <w:tc>
          <w:tcPr>
            <w:tcW w:w="657" w:type="dxa"/>
            <w:tcBorders>
              <w:top w:val="single" w:color="000000" w:sz="2" w:space="0"/>
              <w:left w:val="single" w:color="000000" w:sz="2" w:space="0"/>
              <w:bottom w:val="single" w:color="000000" w:sz="2" w:space="0"/>
              <w:right w:val="single" w:color="000000" w:sz="2" w:space="0"/>
            </w:tcBorders>
          </w:tcPr>
          <w:p>
            <w:pPr>
              <w:spacing w:line="240" w:lineRule="exact"/>
              <w:ind w:left="474" w:right="-20"/>
              <w:rPr>
                <w:rFonts w:ascii="宋体" w:hAnsi="宋体" w:cs="宋体"/>
                <w:position w:val="-2"/>
                <w:sz w:val="24"/>
                <w:szCs w:val="24"/>
              </w:rPr>
            </w:pPr>
          </w:p>
        </w:tc>
        <w:tc>
          <w:tcPr>
            <w:tcW w:w="2093" w:type="dxa"/>
            <w:tcBorders>
              <w:top w:val="single" w:color="000000" w:sz="2" w:space="0"/>
              <w:left w:val="single" w:color="000000" w:sz="2" w:space="0"/>
              <w:bottom w:val="single" w:color="000000" w:sz="2" w:space="0"/>
              <w:right w:val="single" w:color="000000" w:sz="2" w:space="0"/>
            </w:tcBorders>
          </w:tcPr>
          <w:p>
            <w:pPr>
              <w:spacing w:line="240" w:lineRule="exact"/>
              <w:ind w:left="474" w:right="-20"/>
              <w:rPr>
                <w:rFonts w:ascii="宋体" w:hAnsi="宋体" w:cs="宋体"/>
                <w:position w:val="-2"/>
                <w:sz w:val="24"/>
                <w:szCs w:val="24"/>
              </w:rPr>
            </w:pPr>
          </w:p>
        </w:tc>
      </w:tr>
      <w:tr>
        <w:tblPrEx>
          <w:tblCellMar>
            <w:top w:w="0" w:type="dxa"/>
            <w:left w:w="0" w:type="dxa"/>
            <w:bottom w:w="0" w:type="dxa"/>
            <w:right w:w="0" w:type="dxa"/>
          </w:tblCellMar>
        </w:tblPrEx>
        <w:trPr>
          <w:trHeight w:val="276" w:hRule="exact"/>
        </w:trPr>
        <w:tc>
          <w:tcPr>
            <w:tcW w:w="1680" w:type="dxa"/>
            <w:tcBorders>
              <w:top w:val="single" w:color="000000" w:sz="2" w:space="0"/>
              <w:left w:val="single" w:color="000000" w:sz="2" w:space="0"/>
              <w:bottom w:val="single" w:color="000000" w:sz="2" w:space="0"/>
              <w:right w:val="single" w:color="000000" w:sz="2" w:space="0"/>
            </w:tcBorders>
          </w:tcPr>
          <w:p>
            <w:pPr>
              <w:spacing w:line="240" w:lineRule="exact"/>
              <w:ind w:left="301" w:right="-20"/>
              <w:rPr>
                <w:rFonts w:ascii="宋体" w:hAnsi="宋体" w:cs="宋体"/>
                <w:position w:val="-2"/>
                <w:sz w:val="24"/>
                <w:szCs w:val="24"/>
              </w:rPr>
            </w:pPr>
            <w:r>
              <w:rPr>
                <w:rFonts w:hint="eastAsia" w:ascii="宋体" w:hAnsi="宋体" w:cs="宋体"/>
                <w:position w:val="-2"/>
                <w:sz w:val="24"/>
                <w:szCs w:val="24"/>
              </w:rPr>
              <w:t>4.3</w:t>
            </w:r>
          </w:p>
        </w:tc>
        <w:tc>
          <w:tcPr>
            <w:tcW w:w="1340" w:type="dxa"/>
            <w:tcBorders>
              <w:top w:val="single" w:color="000000" w:sz="2" w:space="0"/>
              <w:left w:val="single" w:color="000000" w:sz="2" w:space="0"/>
              <w:bottom w:val="single" w:color="000000" w:sz="2" w:space="0"/>
              <w:right w:val="single" w:color="000000" w:sz="2" w:space="0"/>
            </w:tcBorders>
          </w:tcPr>
          <w:p>
            <w:pPr>
              <w:spacing w:line="240" w:lineRule="exact"/>
              <w:ind w:left="438" w:right="-20"/>
              <w:rPr>
                <w:rFonts w:ascii="宋体" w:hAnsi="宋体" w:cs="宋体"/>
                <w:position w:val="-2"/>
                <w:sz w:val="24"/>
                <w:szCs w:val="24"/>
              </w:rPr>
            </w:pPr>
            <w:r>
              <w:rPr>
                <w:rFonts w:hint="eastAsia" w:ascii="宋体" w:hAnsi="宋体" w:cs="宋体"/>
                <w:position w:val="-2"/>
                <w:sz w:val="24"/>
                <w:szCs w:val="24"/>
              </w:rPr>
              <w:t>…</w:t>
            </w:r>
          </w:p>
        </w:tc>
        <w:tc>
          <w:tcPr>
            <w:tcW w:w="1338" w:type="dxa"/>
            <w:tcBorders>
              <w:top w:val="single" w:color="000000" w:sz="2" w:space="0"/>
              <w:left w:val="single" w:color="000000" w:sz="2" w:space="0"/>
              <w:bottom w:val="single" w:color="000000" w:sz="2" w:space="0"/>
              <w:right w:val="single" w:color="000000" w:sz="2" w:space="0"/>
            </w:tcBorders>
          </w:tcPr>
          <w:p>
            <w:pPr>
              <w:spacing w:line="240" w:lineRule="exact"/>
              <w:ind w:left="623" w:right="606"/>
              <w:jc w:val="center"/>
              <w:rPr>
                <w:rFonts w:ascii="宋体" w:hAnsi="宋体" w:cs="宋体"/>
                <w:position w:val="-2"/>
                <w:sz w:val="24"/>
                <w:szCs w:val="24"/>
              </w:rPr>
            </w:pPr>
          </w:p>
        </w:tc>
        <w:tc>
          <w:tcPr>
            <w:tcW w:w="1336" w:type="dxa"/>
            <w:tcBorders>
              <w:top w:val="single" w:color="000000" w:sz="2" w:space="0"/>
              <w:left w:val="single" w:color="000000" w:sz="2" w:space="0"/>
              <w:bottom w:val="single" w:color="000000" w:sz="2" w:space="0"/>
              <w:right w:val="single" w:color="000000" w:sz="2" w:space="0"/>
            </w:tcBorders>
          </w:tcPr>
          <w:p>
            <w:pPr>
              <w:spacing w:line="240" w:lineRule="exact"/>
              <w:ind w:left="573" w:right="550"/>
              <w:jc w:val="center"/>
              <w:rPr>
                <w:rFonts w:ascii="宋体" w:hAnsi="宋体" w:cs="宋体"/>
                <w:position w:val="-2"/>
                <w:sz w:val="24"/>
                <w:szCs w:val="24"/>
              </w:rPr>
            </w:pPr>
          </w:p>
        </w:tc>
        <w:tc>
          <w:tcPr>
            <w:tcW w:w="1336" w:type="dxa"/>
            <w:tcBorders>
              <w:top w:val="single" w:color="000000" w:sz="2" w:space="0"/>
              <w:left w:val="single" w:color="000000" w:sz="2" w:space="0"/>
              <w:bottom w:val="single" w:color="000000" w:sz="2" w:space="0"/>
              <w:right w:val="single" w:color="000000" w:sz="2" w:space="0"/>
            </w:tcBorders>
          </w:tcPr>
          <w:p>
            <w:pPr>
              <w:spacing w:line="240" w:lineRule="exact"/>
              <w:ind w:left="474" w:right="-20"/>
              <w:rPr>
                <w:rFonts w:ascii="宋体" w:hAnsi="宋体" w:cs="宋体"/>
                <w:position w:val="-2"/>
                <w:sz w:val="24"/>
                <w:szCs w:val="24"/>
              </w:rPr>
            </w:pPr>
          </w:p>
        </w:tc>
        <w:tc>
          <w:tcPr>
            <w:tcW w:w="657" w:type="dxa"/>
            <w:tcBorders>
              <w:top w:val="single" w:color="000000" w:sz="2" w:space="0"/>
              <w:left w:val="single" w:color="000000" w:sz="2" w:space="0"/>
              <w:bottom w:val="single" w:color="000000" w:sz="2" w:space="0"/>
              <w:right w:val="single" w:color="000000" w:sz="2" w:space="0"/>
            </w:tcBorders>
          </w:tcPr>
          <w:p>
            <w:pPr>
              <w:spacing w:line="240" w:lineRule="exact"/>
              <w:ind w:left="474" w:right="-20"/>
              <w:rPr>
                <w:rFonts w:ascii="宋体" w:hAnsi="宋体" w:cs="宋体"/>
                <w:position w:val="-2"/>
                <w:sz w:val="24"/>
                <w:szCs w:val="24"/>
              </w:rPr>
            </w:pPr>
          </w:p>
        </w:tc>
        <w:tc>
          <w:tcPr>
            <w:tcW w:w="2093" w:type="dxa"/>
            <w:tcBorders>
              <w:top w:val="single" w:color="000000" w:sz="2" w:space="0"/>
              <w:left w:val="single" w:color="000000" w:sz="2" w:space="0"/>
              <w:bottom w:val="single" w:color="000000" w:sz="2" w:space="0"/>
              <w:right w:val="single" w:color="000000" w:sz="2" w:space="0"/>
            </w:tcBorders>
          </w:tcPr>
          <w:p>
            <w:pPr>
              <w:spacing w:line="240" w:lineRule="exact"/>
              <w:ind w:left="474" w:right="-20"/>
              <w:rPr>
                <w:rFonts w:ascii="宋体" w:hAnsi="宋体" w:cs="宋体"/>
                <w:position w:val="-2"/>
                <w:sz w:val="24"/>
                <w:szCs w:val="24"/>
              </w:rPr>
            </w:pPr>
          </w:p>
        </w:tc>
      </w:tr>
    </w:tbl>
    <w:p>
      <w:pPr>
        <w:spacing w:before="1" w:line="100" w:lineRule="exact"/>
        <w:rPr>
          <w:rFonts w:ascii="宋体" w:hAnsi="宋体" w:cs="宋体"/>
          <w:sz w:val="24"/>
          <w:szCs w:val="24"/>
        </w:rPr>
      </w:pPr>
    </w:p>
    <w:p>
      <w:pPr>
        <w:spacing w:before="9" w:line="200" w:lineRule="exact"/>
        <w:rPr>
          <w:rFonts w:ascii="宋体" w:hAnsi="宋体" w:cs="宋体"/>
          <w:sz w:val="24"/>
          <w:szCs w:val="24"/>
        </w:rPr>
      </w:pPr>
    </w:p>
    <w:p>
      <w:pPr>
        <w:spacing w:line="271" w:lineRule="exact"/>
        <w:ind w:right="-20"/>
        <w:rPr>
          <w:rFonts w:ascii="宋体" w:hAnsi="宋体" w:cs="宋体"/>
          <w:sz w:val="24"/>
          <w:szCs w:val="24"/>
        </w:rPr>
      </w:pPr>
    </w:p>
    <w:p>
      <w:pPr>
        <w:spacing w:line="271" w:lineRule="exact"/>
        <w:ind w:right="-20"/>
        <w:rPr>
          <w:rFonts w:ascii="宋体" w:hAnsi="宋体" w:cs="宋体"/>
          <w:sz w:val="24"/>
          <w:szCs w:val="24"/>
        </w:rPr>
      </w:pPr>
      <w:r>
        <w:rPr>
          <w:rFonts w:hint="eastAsia" w:ascii="宋体" w:hAnsi="宋体" w:cs="宋体"/>
          <w:sz w:val="24"/>
          <w:szCs w:val="24"/>
        </w:rPr>
        <w:t>13.4其他要求（样表）</w:t>
      </w:r>
    </w:p>
    <w:p>
      <w:pPr>
        <w:spacing w:before="2" w:line="90" w:lineRule="exact"/>
        <w:rPr>
          <w:rFonts w:ascii="宋体" w:hAnsi="宋体" w:cs="宋体"/>
          <w:sz w:val="24"/>
          <w:szCs w:val="24"/>
        </w:rPr>
      </w:pPr>
    </w:p>
    <w:tbl>
      <w:tblPr>
        <w:tblStyle w:val="23"/>
        <w:tblW w:w="9781" w:type="dxa"/>
        <w:tblInd w:w="-709" w:type="dxa"/>
        <w:tblLayout w:type="fixed"/>
        <w:tblCellMar>
          <w:top w:w="0" w:type="dxa"/>
          <w:left w:w="0" w:type="dxa"/>
          <w:bottom w:w="0" w:type="dxa"/>
          <w:right w:w="0" w:type="dxa"/>
        </w:tblCellMar>
      </w:tblPr>
      <w:tblGrid>
        <w:gridCol w:w="1830"/>
        <w:gridCol w:w="1289"/>
        <w:gridCol w:w="1418"/>
        <w:gridCol w:w="1191"/>
        <w:gridCol w:w="1502"/>
        <w:gridCol w:w="567"/>
        <w:gridCol w:w="1984"/>
      </w:tblGrid>
      <w:tr>
        <w:tblPrEx>
          <w:tblCellMar>
            <w:top w:w="0" w:type="dxa"/>
            <w:left w:w="0" w:type="dxa"/>
            <w:bottom w:w="0" w:type="dxa"/>
            <w:right w:w="0" w:type="dxa"/>
          </w:tblCellMar>
        </w:tblPrEx>
        <w:trPr>
          <w:trHeight w:val="276" w:hRule="exact"/>
        </w:trPr>
        <w:tc>
          <w:tcPr>
            <w:tcW w:w="1830" w:type="dxa"/>
            <w:tcBorders>
              <w:top w:val="single" w:color="000000" w:sz="2" w:space="0"/>
              <w:left w:val="single" w:color="000000" w:sz="2" w:space="0"/>
              <w:bottom w:val="single" w:color="000000" w:sz="2" w:space="0"/>
              <w:right w:val="single" w:color="000000" w:sz="2" w:space="0"/>
            </w:tcBorders>
          </w:tcPr>
          <w:p>
            <w:pPr>
              <w:spacing w:line="240" w:lineRule="exact"/>
              <w:ind w:right="-20" w:firstLine="240" w:firstLineChars="100"/>
              <w:rPr>
                <w:rFonts w:ascii="宋体" w:hAnsi="宋体" w:cs="宋体"/>
                <w:sz w:val="24"/>
                <w:szCs w:val="24"/>
              </w:rPr>
            </w:pPr>
            <w:r>
              <w:rPr>
                <w:rFonts w:hint="eastAsia" w:ascii="宋体" w:hAnsi="宋体" w:cs="宋体"/>
                <w:position w:val="-2"/>
                <w:sz w:val="24"/>
                <w:szCs w:val="24"/>
              </w:rPr>
              <w:t>编号</w:t>
            </w:r>
          </w:p>
        </w:tc>
        <w:tc>
          <w:tcPr>
            <w:tcW w:w="1289" w:type="dxa"/>
            <w:tcBorders>
              <w:top w:val="single" w:color="000000" w:sz="2" w:space="0"/>
              <w:left w:val="single" w:color="000000" w:sz="2" w:space="0"/>
              <w:bottom w:val="single" w:color="000000" w:sz="2" w:space="0"/>
              <w:right w:val="single" w:color="000000" w:sz="2" w:space="0"/>
            </w:tcBorders>
          </w:tcPr>
          <w:p>
            <w:pPr>
              <w:spacing w:line="240" w:lineRule="exact"/>
              <w:ind w:right="-20"/>
              <w:rPr>
                <w:rFonts w:ascii="宋体" w:hAnsi="宋体" w:cs="宋体"/>
                <w:sz w:val="24"/>
                <w:szCs w:val="24"/>
              </w:rPr>
            </w:pPr>
            <w:r>
              <w:rPr>
                <w:rFonts w:hint="eastAsia" w:ascii="宋体" w:hAnsi="宋体" w:cs="宋体"/>
                <w:position w:val="-2"/>
                <w:sz w:val="24"/>
                <w:szCs w:val="24"/>
              </w:rPr>
              <w:t>其他要求名称</w:t>
            </w:r>
          </w:p>
        </w:tc>
        <w:tc>
          <w:tcPr>
            <w:tcW w:w="1418" w:type="dxa"/>
            <w:tcBorders>
              <w:top w:val="single" w:color="000000" w:sz="2" w:space="0"/>
              <w:left w:val="single" w:color="000000" w:sz="2" w:space="0"/>
              <w:bottom w:val="single" w:color="000000" w:sz="2" w:space="0"/>
              <w:right w:val="single" w:color="000000" w:sz="2" w:space="0"/>
            </w:tcBorders>
          </w:tcPr>
          <w:p>
            <w:pPr>
              <w:spacing w:line="240" w:lineRule="exact"/>
              <w:ind w:right="-20"/>
              <w:rPr>
                <w:rFonts w:ascii="宋体" w:hAnsi="宋体" w:cs="宋体"/>
                <w:sz w:val="24"/>
                <w:szCs w:val="24"/>
              </w:rPr>
            </w:pPr>
            <w:r>
              <w:rPr>
                <w:rFonts w:hint="eastAsia" w:ascii="宋体" w:hAnsi="宋体" w:cs="宋体"/>
                <w:position w:val="-2"/>
                <w:sz w:val="24"/>
                <w:szCs w:val="24"/>
              </w:rPr>
              <w:t>重要程度</w:t>
            </w:r>
          </w:p>
        </w:tc>
        <w:tc>
          <w:tcPr>
            <w:tcW w:w="1191" w:type="dxa"/>
            <w:tcBorders>
              <w:top w:val="single" w:color="000000" w:sz="2" w:space="0"/>
              <w:left w:val="single" w:color="000000" w:sz="2" w:space="0"/>
              <w:bottom w:val="single" w:color="000000" w:sz="2" w:space="0"/>
              <w:right w:val="single" w:color="000000" w:sz="2" w:space="0"/>
            </w:tcBorders>
          </w:tcPr>
          <w:p>
            <w:pPr>
              <w:spacing w:line="240" w:lineRule="exact"/>
              <w:ind w:right="-20"/>
              <w:rPr>
                <w:rFonts w:ascii="宋体" w:hAnsi="宋体" w:cs="宋体"/>
                <w:sz w:val="24"/>
                <w:szCs w:val="24"/>
              </w:rPr>
            </w:pPr>
            <w:r>
              <w:rPr>
                <w:rFonts w:hint="eastAsia" w:ascii="宋体" w:hAnsi="宋体" w:cs="宋体"/>
                <w:position w:val="-2"/>
                <w:sz w:val="24"/>
                <w:szCs w:val="24"/>
              </w:rPr>
              <w:t>其他要求</w:t>
            </w:r>
          </w:p>
        </w:tc>
        <w:tc>
          <w:tcPr>
            <w:tcW w:w="1502" w:type="dxa"/>
            <w:tcBorders>
              <w:top w:val="single" w:color="000000" w:sz="2" w:space="0"/>
              <w:left w:val="single" w:color="000000" w:sz="2" w:space="0"/>
              <w:bottom w:val="single" w:color="000000" w:sz="2" w:space="0"/>
              <w:right w:val="single" w:color="000000" w:sz="2" w:space="0"/>
            </w:tcBorders>
          </w:tcPr>
          <w:p>
            <w:pPr>
              <w:spacing w:line="240" w:lineRule="exact"/>
              <w:ind w:right="-20"/>
              <w:rPr>
                <w:rFonts w:ascii="宋体" w:hAnsi="宋体" w:cs="宋体"/>
                <w:sz w:val="24"/>
                <w:szCs w:val="24"/>
              </w:rPr>
            </w:pPr>
            <w:r>
              <w:rPr>
                <w:rFonts w:hint="eastAsia" w:ascii="宋体" w:hAnsi="宋体" w:cs="宋体"/>
                <w:position w:val="-2"/>
                <w:sz w:val="24"/>
                <w:szCs w:val="24"/>
              </w:rPr>
              <w:t>响应内容</w:t>
            </w:r>
          </w:p>
        </w:tc>
        <w:tc>
          <w:tcPr>
            <w:tcW w:w="567" w:type="dxa"/>
            <w:tcBorders>
              <w:top w:val="single" w:color="000000" w:sz="2" w:space="0"/>
              <w:left w:val="single" w:color="000000" w:sz="2" w:space="0"/>
              <w:bottom w:val="single" w:color="000000" w:sz="2" w:space="0"/>
              <w:right w:val="single" w:color="000000" w:sz="2" w:space="0"/>
            </w:tcBorders>
          </w:tcPr>
          <w:p>
            <w:pPr>
              <w:spacing w:line="240" w:lineRule="exact"/>
              <w:ind w:right="-20"/>
              <w:rPr>
                <w:rFonts w:ascii="宋体" w:hAnsi="宋体" w:cs="宋体"/>
                <w:position w:val="-2"/>
                <w:sz w:val="24"/>
                <w:szCs w:val="24"/>
              </w:rPr>
            </w:pPr>
            <w:r>
              <w:rPr>
                <w:rFonts w:hint="eastAsia" w:ascii="宋体" w:hAnsi="宋体" w:cs="宋体"/>
                <w:position w:val="-2"/>
                <w:sz w:val="24"/>
                <w:szCs w:val="24"/>
              </w:rPr>
              <w:t>偏离</w:t>
            </w:r>
          </w:p>
        </w:tc>
        <w:tc>
          <w:tcPr>
            <w:tcW w:w="1984" w:type="dxa"/>
            <w:tcBorders>
              <w:top w:val="single" w:color="000000" w:sz="2" w:space="0"/>
              <w:left w:val="single" w:color="000000" w:sz="2" w:space="0"/>
              <w:bottom w:val="single" w:color="000000" w:sz="2" w:space="0"/>
              <w:right w:val="single" w:color="000000" w:sz="2" w:space="0"/>
            </w:tcBorders>
          </w:tcPr>
          <w:p>
            <w:pPr>
              <w:spacing w:line="240" w:lineRule="exact"/>
              <w:ind w:right="-20"/>
              <w:rPr>
                <w:rFonts w:ascii="宋体" w:hAnsi="宋体" w:cs="宋体"/>
                <w:position w:val="-2"/>
                <w:sz w:val="24"/>
                <w:szCs w:val="24"/>
              </w:rPr>
            </w:pPr>
            <w:r>
              <w:rPr>
                <w:rFonts w:hint="eastAsia" w:ascii="宋体" w:hAnsi="宋体" w:cs="宋体"/>
                <w:position w:val="-2"/>
                <w:sz w:val="24"/>
                <w:szCs w:val="24"/>
              </w:rPr>
              <w:t>偏离说明</w:t>
            </w:r>
          </w:p>
        </w:tc>
      </w:tr>
      <w:tr>
        <w:tblPrEx>
          <w:tblCellMar>
            <w:top w:w="0" w:type="dxa"/>
            <w:left w:w="0" w:type="dxa"/>
            <w:bottom w:w="0" w:type="dxa"/>
            <w:right w:w="0" w:type="dxa"/>
          </w:tblCellMar>
        </w:tblPrEx>
        <w:trPr>
          <w:trHeight w:val="278" w:hRule="exact"/>
        </w:trPr>
        <w:tc>
          <w:tcPr>
            <w:tcW w:w="1830" w:type="dxa"/>
            <w:tcBorders>
              <w:top w:val="single" w:color="000000" w:sz="2" w:space="0"/>
              <w:left w:val="single" w:color="000000" w:sz="2" w:space="0"/>
              <w:bottom w:val="single" w:color="000000" w:sz="2" w:space="0"/>
              <w:right w:val="single" w:color="000000" w:sz="2" w:space="0"/>
            </w:tcBorders>
          </w:tcPr>
          <w:p>
            <w:pPr>
              <w:spacing w:line="240" w:lineRule="exact"/>
              <w:ind w:left="359" w:right="339"/>
              <w:rPr>
                <w:rFonts w:ascii="宋体" w:hAnsi="宋体" w:cs="宋体"/>
                <w:sz w:val="24"/>
                <w:szCs w:val="24"/>
              </w:rPr>
            </w:pPr>
            <w:r>
              <w:rPr>
                <w:rFonts w:hint="eastAsia" w:ascii="宋体" w:hAnsi="宋体" w:cs="宋体"/>
                <w:position w:val="-2"/>
                <w:sz w:val="24"/>
                <w:szCs w:val="24"/>
              </w:rPr>
              <w:t>5.1</w:t>
            </w:r>
          </w:p>
        </w:tc>
        <w:tc>
          <w:tcPr>
            <w:tcW w:w="1289"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sz w:val="24"/>
                <w:szCs w:val="24"/>
              </w:rPr>
            </w:pPr>
          </w:p>
        </w:tc>
        <w:tc>
          <w:tcPr>
            <w:tcW w:w="1418"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sz w:val="24"/>
                <w:szCs w:val="24"/>
              </w:rPr>
            </w:pPr>
          </w:p>
        </w:tc>
        <w:tc>
          <w:tcPr>
            <w:tcW w:w="1191" w:type="dxa"/>
            <w:tcBorders>
              <w:top w:val="single" w:color="000000" w:sz="2" w:space="0"/>
              <w:left w:val="single" w:color="000000" w:sz="2" w:space="0"/>
              <w:bottom w:val="single" w:color="000000" w:sz="2" w:space="0"/>
              <w:right w:val="single" w:color="000000" w:sz="2" w:space="0"/>
            </w:tcBorders>
          </w:tcPr>
          <w:p>
            <w:pPr>
              <w:spacing w:line="240" w:lineRule="exact"/>
              <w:ind w:left="834" w:right="812"/>
              <w:jc w:val="center"/>
              <w:rPr>
                <w:rFonts w:ascii="宋体" w:hAnsi="宋体" w:cs="宋体"/>
                <w:sz w:val="24"/>
                <w:szCs w:val="24"/>
              </w:rPr>
            </w:pPr>
          </w:p>
        </w:tc>
        <w:tc>
          <w:tcPr>
            <w:tcW w:w="1502"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sz w:val="24"/>
                <w:szCs w:val="24"/>
              </w:rPr>
            </w:pPr>
          </w:p>
        </w:tc>
        <w:tc>
          <w:tcPr>
            <w:tcW w:w="567"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sz w:val="24"/>
                <w:szCs w:val="24"/>
              </w:rPr>
            </w:pPr>
          </w:p>
        </w:tc>
        <w:tc>
          <w:tcPr>
            <w:tcW w:w="1984"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sz w:val="24"/>
                <w:szCs w:val="24"/>
              </w:rPr>
            </w:pPr>
          </w:p>
        </w:tc>
      </w:tr>
      <w:tr>
        <w:tblPrEx>
          <w:tblCellMar>
            <w:top w:w="0" w:type="dxa"/>
            <w:left w:w="0" w:type="dxa"/>
            <w:bottom w:w="0" w:type="dxa"/>
            <w:right w:w="0" w:type="dxa"/>
          </w:tblCellMar>
        </w:tblPrEx>
        <w:trPr>
          <w:trHeight w:val="278" w:hRule="exact"/>
        </w:trPr>
        <w:tc>
          <w:tcPr>
            <w:tcW w:w="1830" w:type="dxa"/>
            <w:tcBorders>
              <w:top w:val="single" w:color="000000" w:sz="2" w:space="0"/>
              <w:left w:val="single" w:color="000000" w:sz="2" w:space="0"/>
              <w:bottom w:val="single" w:color="000000" w:sz="2" w:space="0"/>
              <w:right w:val="single" w:color="000000" w:sz="2" w:space="0"/>
            </w:tcBorders>
          </w:tcPr>
          <w:p>
            <w:pPr>
              <w:spacing w:line="240" w:lineRule="exact"/>
              <w:ind w:left="359" w:right="339"/>
              <w:rPr>
                <w:rFonts w:ascii="宋体" w:hAnsi="宋体" w:cs="宋体"/>
                <w:sz w:val="24"/>
                <w:szCs w:val="24"/>
              </w:rPr>
            </w:pPr>
            <w:r>
              <w:rPr>
                <w:rFonts w:hint="eastAsia" w:ascii="宋体" w:hAnsi="宋体" w:cs="宋体"/>
                <w:position w:val="-2"/>
                <w:sz w:val="24"/>
                <w:szCs w:val="24"/>
              </w:rPr>
              <w:t>5.2</w:t>
            </w:r>
          </w:p>
        </w:tc>
        <w:tc>
          <w:tcPr>
            <w:tcW w:w="1289"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sz w:val="24"/>
                <w:szCs w:val="24"/>
              </w:rPr>
            </w:pPr>
          </w:p>
        </w:tc>
        <w:tc>
          <w:tcPr>
            <w:tcW w:w="1418" w:type="dxa"/>
            <w:tcBorders>
              <w:top w:val="single" w:color="000000" w:sz="2" w:space="0"/>
              <w:left w:val="single" w:color="000000" w:sz="2" w:space="0"/>
              <w:bottom w:val="single" w:color="000000" w:sz="2" w:space="0"/>
              <w:right w:val="single" w:color="000000" w:sz="2" w:space="0"/>
            </w:tcBorders>
          </w:tcPr>
          <w:p>
            <w:pPr>
              <w:spacing w:line="240" w:lineRule="exact"/>
              <w:ind w:left="676" w:right="656"/>
              <w:jc w:val="center"/>
              <w:rPr>
                <w:rFonts w:ascii="宋体" w:hAnsi="宋体" w:cs="宋体"/>
                <w:sz w:val="24"/>
                <w:szCs w:val="24"/>
              </w:rPr>
            </w:pPr>
          </w:p>
        </w:tc>
        <w:tc>
          <w:tcPr>
            <w:tcW w:w="1191" w:type="dxa"/>
            <w:tcBorders>
              <w:top w:val="single" w:color="000000" w:sz="2" w:space="0"/>
              <w:left w:val="single" w:color="000000" w:sz="2" w:space="0"/>
              <w:bottom w:val="single" w:color="000000" w:sz="2" w:space="0"/>
              <w:right w:val="single" w:color="000000" w:sz="2" w:space="0"/>
            </w:tcBorders>
          </w:tcPr>
          <w:p>
            <w:pPr>
              <w:spacing w:line="240" w:lineRule="exact"/>
              <w:ind w:left="782" w:right="759"/>
              <w:jc w:val="center"/>
              <w:rPr>
                <w:rFonts w:ascii="宋体" w:hAnsi="宋体" w:cs="宋体"/>
                <w:sz w:val="24"/>
                <w:szCs w:val="24"/>
              </w:rPr>
            </w:pPr>
          </w:p>
        </w:tc>
        <w:tc>
          <w:tcPr>
            <w:tcW w:w="1502"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sz w:val="24"/>
                <w:szCs w:val="24"/>
              </w:rPr>
            </w:pPr>
          </w:p>
        </w:tc>
        <w:tc>
          <w:tcPr>
            <w:tcW w:w="567"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sz w:val="24"/>
                <w:szCs w:val="24"/>
              </w:rPr>
            </w:pPr>
          </w:p>
        </w:tc>
        <w:tc>
          <w:tcPr>
            <w:tcW w:w="1984"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sz w:val="24"/>
                <w:szCs w:val="24"/>
              </w:rPr>
            </w:pPr>
          </w:p>
        </w:tc>
      </w:tr>
      <w:tr>
        <w:tblPrEx>
          <w:tblCellMar>
            <w:top w:w="0" w:type="dxa"/>
            <w:left w:w="0" w:type="dxa"/>
            <w:bottom w:w="0" w:type="dxa"/>
            <w:right w:w="0" w:type="dxa"/>
          </w:tblCellMar>
        </w:tblPrEx>
        <w:trPr>
          <w:trHeight w:val="278" w:hRule="exact"/>
        </w:trPr>
        <w:tc>
          <w:tcPr>
            <w:tcW w:w="1830" w:type="dxa"/>
            <w:tcBorders>
              <w:top w:val="single" w:color="000000" w:sz="2" w:space="0"/>
              <w:left w:val="single" w:color="000000" w:sz="2" w:space="0"/>
              <w:bottom w:val="single" w:color="000000" w:sz="2" w:space="0"/>
              <w:right w:val="single" w:color="000000" w:sz="2" w:space="0"/>
            </w:tcBorders>
          </w:tcPr>
          <w:p>
            <w:pPr>
              <w:spacing w:line="240" w:lineRule="exact"/>
              <w:ind w:left="359" w:right="339"/>
              <w:rPr>
                <w:rFonts w:ascii="宋体" w:hAnsi="宋体" w:cs="宋体"/>
                <w:position w:val="-2"/>
                <w:sz w:val="24"/>
                <w:szCs w:val="24"/>
              </w:rPr>
            </w:pPr>
            <w:r>
              <w:rPr>
                <w:rFonts w:hint="eastAsia" w:ascii="宋体" w:hAnsi="宋体" w:cs="宋体"/>
                <w:position w:val="-2"/>
                <w:sz w:val="24"/>
                <w:szCs w:val="24"/>
              </w:rPr>
              <w:t>5.3</w:t>
            </w:r>
          </w:p>
        </w:tc>
        <w:tc>
          <w:tcPr>
            <w:tcW w:w="1289"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position w:val="-2"/>
                <w:sz w:val="24"/>
                <w:szCs w:val="24"/>
              </w:rPr>
            </w:pPr>
            <w:r>
              <w:rPr>
                <w:rFonts w:hint="eastAsia" w:ascii="宋体" w:hAnsi="宋体" w:cs="宋体"/>
                <w:position w:val="-2"/>
                <w:sz w:val="24"/>
                <w:szCs w:val="24"/>
              </w:rPr>
              <w:t>…</w:t>
            </w:r>
          </w:p>
        </w:tc>
        <w:tc>
          <w:tcPr>
            <w:tcW w:w="1418" w:type="dxa"/>
            <w:tcBorders>
              <w:top w:val="single" w:color="000000" w:sz="2" w:space="0"/>
              <w:left w:val="single" w:color="000000" w:sz="2" w:space="0"/>
              <w:bottom w:val="single" w:color="000000" w:sz="2" w:space="0"/>
              <w:right w:val="single" w:color="000000" w:sz="2" w:space="0"/>
            </w:tcBorders>
          </w:tcPr>
          <w:p>
            <w:pPr>
              <w:spacing w:line="240" w:lineRule="exact"/>
              <w:ind w:left="676" w:right="656"/>
              <w:jc w:val="center"/>
              <w:rPr>
                <w:rFonts w:ascii="宋体" w:hAnsi="宋体" w:cs="宋体"/>
                <w:position w:val="-2"/>
                <w:sz w:val="24"/>
                <w:szCs w:val="24"/>
              </w:rPr>
            </w:pPr>
          </w:p>
        </w:tc>
        <w:tc>
          <w:tcPr>
            <w:tcW w:w="1191" w:type="dxa"/>
            <w:tcBorders>
              <w:top w:val="single" w:color="000000" w:sz="2" w:space="0"/>
              <w:left w:val="single" w:color="000000" w:sz="2" w:space="0"/>
              <w:bottom w:val="single" w:color="000000" w:sz="2" w:space="0"/>
              <w:right w:val="single" w:color="000000" w:sz="2" w:space="0"/>
            </w:tcBorders>
          </w:tcPr>
          <w:p>
            <w:pPr>
              <w:spacing w:line="240" w:lineRule="exact"/>
              <w:ind w:left="782" w:right="759"/>
              <w:jc w:val="center"/>
              <w:rPr>
                <w:rFonts w:ascii="宋体" w:hAnsi="宋体" w:cs="宋体"/>
                <w:position w:val="-2"/>
                <w:sz w:val="24"/>
                <w:szCs w:val="24"/>
              </w:rPr>
            </w:pPr>
          </w:p>
        </w:tc>
        <w:tc>
          <w:tcPr>
            <w:tcW w:w="1502"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position w:val="-2"/>
                <w:sz w:val="24"/>
                <w:szCs w:val="24"/>
              </w:rPr>
            </w:pPr>
          </w:p>
        </w:tc>
        <w:tc>
          <w:tcPr>
            <w:tcW w:w="567"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position w:val="-2"/>
                <w:sz w:val="24"/>
                <w:szCs w:val="24"/>
              </w:rPr>
            </w:pPr>
          </w:p>
        </w:tc>
        <w:tc>
          <w:tcPr>
            <w:tcW w:w="1984" w:type="dxa"/>
            <w:tcBorders>
              <w:top w:val="single" w:color="000000" w:sz="2" w:space="0"/>
              <w:left w:val="single" w:color="000000" w:sz="2" w:space="0"/>
              <w:bottom w:val="single" w:color="000000" w:sz="2" w:space="0"/>
              <w:right w:val="single" w:color="000000" w:sz="2" w:space="0"/>
            </w:tcBorders>
          </w:tcPr>
          <w:p>
            <w:pPr>
              <w:spacing w:line="240" w:lineRule="exact"/>
              <w:ind w:left="782" w:right="762"/>
              <w:jc w:val="center"/>
              <w:rPr>
                <w:rFonts w:ascii="宋体" w:hAnsi="宋体" w:cs="宋体"/>
                <w:position w:val="-2"/>
                <w:sz w:val="24"/>
                <w:szCs w:val="24"/>
              </w:rPr>
            </w:pPr>
          </w:p>
        </w:tc>
      </w:tr>
    </w:tbl>
    <w:p>
      <w:pPr>
        <w:rPr>
          <w:rFonts w:ascii="宋体" w:hAnsi="宋体" w:cs="宋体"/>
          <w:sz w:val="24"/>
          <w:szCs w:val="24"/>
        </w:rPr>
      </w:pPr>
      <w:r>
        <w:rPr>
          <w:rFonts w:hint="eastAsia" w:ascii="宋体" w:hAnsi="宋体" w:cs="宋体"/>
          <w:sz w:val="24"/>
          <w:szCs w:val="24"/>
        </w:rPr>
        <w:br w:type="page"/>
      </w:r>
    </w:p>
    <w:p>
      <w:pPr>
        <w:pStyle w:val="6"/>
        <w:rPr>
          <w:rFonts w:cs="宋体"/>
          <w:lang w:eastAsia="zh-CN"/>
        </w:rPr>
      </w:pPr>
      <w:r>
        <w:rPr>
          <w:rFonts w:hint="eastAsia" w:cs="宋体"/>
          <w:lang w:eastAsia="zh-CN"/>
        </w:rPr>
        <w:t>14.小型、微型企业产品明细表</w:t>
      </w:r>
      <w:bookmarkEnd w:id="134"/>
      <w:bookmarkEnd w:id="135"/>
      <w:r>
        <w:rPr>
          <w:rFonts w:hint="eastAsia" w:cs="宋体"/>
          <w:lang w:eastAsia="zh-CN"/>
        </w:rPr>
        <w:t>（样表）</w:t>
      </w:r>
      <w:bookmarkEnd w:id="136"/>
    </w:p>
    <w:p>
      <w:pPr>
        <w:autoSpaceDE w:val="0"/>
        <w:autoSpaceDN w:val="0"/>
        <w:adjustRightInd w:val="0"/>
        <w:spacing w:line="320" w:lineRule="exact"/>
        <w:ind w:firstLine="480" w:firstLineChars="200"/>
        <w:rPr>
          <w:rFonts w:ascii="宋体" w:hAnsi="宋体" w:cs="宋体"/>
          <w:sz w:val="24"/>
          <w:szCs w:val="20"/>
          <w:lang w:eastAsia="zh-CN"/>
        </w:rPr>
      </w:pPr>
    </w:p>
    <w:p>
      <w:pPr>
        <w:autoSpaceDE w:val="0"/>
        <w:autoSpaceDN w:val="0"/>
        <w:adjustRightInd w:val="0"/>
        <w:spacing w:line="320" w:lineRule="exact"/>
        <w:rPr>
          <w:rFonts w:ascii="宋体" w:hAnsi="宋体" w:cs="宋体"/>
          <w:sz w:val="24"/>
          <w:szCs w:val="20"/>
          <w:lang w:eastAsia="zh-CN"/>
        </w:rPr>
      </w:pPr>
      <w:r>
        <w:rPr>
          <w:rFonts w:hint="eastAsia" w:ascii="宋体" w:hAnsi="宋体" w:cs="宋体"/>
          <w:sz w:val="24"/>
          <w:szCs w:val="20"/>
          <w:lang w:eastAsia="zh-CN"/>
        </w:rPr>
        <w:t>项目编号、包号：                              报价单位：人民币元</w:t>
      </w:r>
    </w:p>
    <w:tbl>
      <w:tblPr>
        <w:tblStyle w:val="23"/>
        <w:tblpPr w:leftFromText="180" w:rightFromText="180" w:vertAnchor="text" w:horzAnchor="margin" w:tblpXSpec="center" w:tblpY="6"/>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275"/>
        <w:gridCol w:w="1970"/>
        <w:gridCol w:w="1528"/>
        <w:gridCol w:w="1050"/>
        <w:gridCol w:w="114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7"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编号</w:t>
            </w:r>
          </w:p>
        </w:tc>
        <w:tc>
          <w:tcPr>
            <w:tcW w:w="1418" w:type="dxa"/>
            <w:vMerge w:val="restar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货物名称</w:t>
            </w:r>
          </w:p>
        </w:tc>
        <w:tc>
          <w:tcPr>
            <w:tcW w:w="1275" w:type="dxa"/>
            <w:vMerge w:val="restar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制造商</w:t>
            </w:r>
          </w:p>
        </w:tc>
        <w:tc>
          <w:tcPr>
            <w:tcW w:w="1970" w:type="dxa"/>
            <w:vMerge w:val="restar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r>
              <w:rPr>
                <w:rFonts w:hint="eastAsia" w:ascii="宋体" w:hAnsi="宋体" w:cs="宋体"/>
                <w:sz w:val="24"/>
                <w:szCs w:val="20"/>
              </w:rPr>
              <w:t>品牌</w:t>
            </w:r>
          </w:p>
        </w:tc>
        <w:tc>
          <w:tcPr>
            <w:tcW w:w="1528" w:type="dxa"/>
            <w:vMerge w:val="restar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产品型号</w:t>
            </w:r>
          </w:p>
        </w:tc>
        <w:tc>
          <w:tcPr>
            <w:tcW w:w="3247"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1200" w:firstLineChars="500"/>
              <w:rPr>
                <w:rFonts w:ascii="宋体" w:hAnsi="宋体" w:cs="宋体"/>
                <w:sz w:val="24"/>
                <w:szCs w:val="20"/>
              </w:rPr>
            </w:pPr>
            <w:r>
              <w:rPr>
                <w:rFonts w:hint="eastAsia" w:ascii="宋体" w:hAnsi="宋体" w:cs="宋体"/>
                <w:sz w:val="24"/>
                <w:szCs w:val="20"/>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7" w:type="dxa"/>
            <w:vMerge w:val="continue"/>
            <w:tcBorders>
              <w:top w:val="single" w:color="auto" w:sz="12" w:space="0"/>
              <w:left w:val="single" w:color="auto" w:sz="12" w:space="0"/>
              <w:bottom w:val="single" w:color="auto" w:sz="4" w:space="0"/>
              <w:right w:val="single" w:color="auto" w:sz="4" w:space="0"/>
            </w:tcBorders>
            <w:vAlign w:val="center"/>
          </w:tcPr>
          <w:p>
            <w:pPr>
              <w:widowControl/>
              <w:rPr>
                <w:rFonts w:ascii="宋体" w:hAnsi="宋体" w:cs="宋体"/>
                <w:sz w:val="24"/>
                <w:szCs w:val="20"/>
              </w:rPr>
            </w:pPr>
          </w:p>
        </w:tc>
        <w:tc>
          <w:tcPr>
            <w:tcW w:w="1418"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1275"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1970"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1528"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单价</w:t>
            </w:r>
          </w:p>
        </w:tc>
        <w:tc>
          <w:tcPr>
            <w:tcW w:w="11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数量</w:t>
            </w:r>
          </w:p>
        </w:tc>
        <w:tc>
          <w:tcPr>
            <w:tcW w:w="1057"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1</w:t>
            </w:r>
          </w:p>
        </w:tc>
        <w:tc>
          <w:tcPr>
            <w:tcW w:w="14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9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57"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320" w:lineRule="exact"/>
              <w:ind w:firstLine="480" w:firstLineChars="20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2</w:t>
            </w:r>
          </w:p>
        </w:tc>
        <w:tc>
          <w:tcPr>
            <w:tcW w:w="14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9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57"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320" w:lineRule="exact"/>
              <w:ind w:firstLine="480" w:firstLineChars="20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3</w:t>
            </w:r>
          </w:p>
        </w:tc>
        <w:tc>
          <w:tcPr>
            <w:tcW w:w="14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ind w:firstLine="480" w:firstLineChars="200"/>
              <w:rPr>
                <w:rFonts w:ascii="宋体" w:hAnsi="宋体" w:cs="宋体"/>
                <w:sz w:val="24"/>
                <w:szCs w:val="20"/>
              </w:rPr>
            </w:pPr>
            <w:r>
              <w:rPr>
                <w:rFonts w:hint="eastAsia" w:ascii="宋体" w:hAnsi="宋体" w:cs="宋体"/>
                <w:sz w:val="24"/>
                <w:szCs w:val="20"/>
              </w:rPr>
              <w:t>…</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9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57"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320" w:lineRule="exact"/>
              <w:ind w:firstLine="480" w:firstLineChars="200"/>
              <w:rPr>
                <w:rFonts w:ascii="宋体" w:hAnsi="宋体" w:cs="宋体"/>
                <w:sz w:val="24"/>
                <w:szCs w:val="20"/>
              </w:rPr>
            </w:pPr>
          </w:p>
        </w:tc>
      </w:tr>
    </w:tbl>
    <w:p>
      <w:pPr>
        <w:autoSpaceDE w:val="0"/>
        <w:autoSpaceDN w:val="0"/>
        <w:adjustRightInd w:val="0"/>
        <w:spacing w:line="320" w:lineRule="exact"/>
        <w:rPr>
          <w:rFonts w:ascii="宋体" w:hAnsi="宋体" w:cs="宋体"/>
          <w:sz w:val="24"/>
          <w:szCs w:val="20"/>
          <w:lang w:eastAsia="zh-CN"/>
        </w:rPr>
      </w:pPr>
      <w:r>
        <w:rPr>
          <w:rFonts w:hint="eastAsia" w:ascii="宋体" w:hAnsi="宋体" w:cs="宋体"/>
          <w:sz w:val="24"/>
          <w:szCs w:val="20"/>
          <w:lang w:eastAsia="zh-CN"/>
        </w:rPr>
        <w:t>说明：如所报货物为小型、微型企业产品，必须按要求逐项填写，响应文件工具自动合成，否则评分时不予价格扣除。</w:t>
      </w:r>
    </w:p>
    <w:p>
      <w:pPr>
        <w:autoSpaceDE w:val="0"/>
        <w:autoSpaceDN w:val="0"/>
        <w:adjustRightInd w:val="0"/>
        <w:spacing w:line="320" w:lineRule="exact"/>
        <w:ind w:firstLine="480" w:firstLineChars="200"/>
        <w:rPr>
          <w:rFonts w:ascii="宋体" w:hAnsi="宋体" w:cs="宋体"/>
          <w:sz w:val="24"/>
          <w:szCs w:val="20"/>
          <w:lang w:eastAsia="zh-CN"/>
        </w:rPr>
      </w:pPr>
    </w:p>
    <w:p>
      <w:pPr>
        <w:autoSpaceDE w:val="0"/>
        <w:autoSpaceDN w:val="0"/>
        <w:adjustRightInd w:val="0"/>
        <w:spacing w:line="320" w:lineRule="exact"/>
        <w:rPr>
          <w:rFonts w:ascii="宋体" w:hAnsi="宋体" w:cs="宋体"/>
          <w:sz w:val="24"/>
          <w:szCs w:val="20"/>
          <w:lang w:eastAsia="zh-CN"/>
        </w:rPr>
      </w:pPr>
    </w:p>
    <w:p>
      <w:pPr>
        <w:pStyle w:val="6"/>
        <w:rPr>
          <w:rFonts w:cs="宋体"/>
          <w:sz w:val="30"/>
          <w:lang w:eastAsia="zh-CN"/>
        </w:rPr>
      </w:pPr>
      <w:bookmarkStart w:id="141" w:name="_Toc46238285"/>
      <w:bookmarkStart w:id="142" w:name="_Toc46136868"/>
      <w:bookmarkStart w:id="143" w:name="_Toc22180"/>
      <w:r>
        <w:rPr>
          <w:rFonts w:hint="eastAsia" w:cs="宋体"/>
          <w:lang w:eastAsia="zh-CN"/>
        </w:rPr>
        <w:t>15</w:t>
      </w:r>
      <w:r>
        <w:rPr>
          <w:rFonts w:hint="eastAsia" w:cs="宋体"/>
          <w:sz w:val="30"/>
          <w:lang w:eastAsia="zh-CN"/>
        </w:rPr>
        <w:t>.</w:t>
      </w:r>
      <w:r>
        <w:rPr>
          <w:rFonts w:hint="eastAsia" w:cs="宋体"/>
          <w:lang w:eastAsia="zh-CN"/>
        </w:rPr>
        <w:t>环境标志产品明细表</w:t>
      </w:r>
      <w:bookmarkEnd w:id="141"/>
      <w:bookmarkEnd w:id="142"/>
      <w:r>
        <w:rPr>
          <w:rFonts w:hint="eastAsia" w:cs="宋体"/>
          <w:lang w:eastAsia="zh-CN"/>
        </w:rPr>
        <w:t>（样表）</w:t>
      </w:r>
      <w:bookmarkEnd w:id="143"/>
    </w:p>
    <w:p>
      <w:pPr>
        <w:autoSpaceDE w:val="0"/>
        <w:autoSpaceDN w:val="0"/>
        <w:adjustRightInd w:val="0"/>
        <w:spacing w:line="320" w:lineRule="exact"/>
        <w:jc w:val="center"/>
        <w:rPr>
          <w:rFonts w:ascii="宋体" w:hAnsi="宋体" w:cs="宋体"/>
          <w:b/>
          <w:sz w:val="24"/>
          <w:szCs w:val="20"/>
          <w:lang w:eastAsia="zh-CN"/>
        </w:rPr>
      </w:pPr>
    </w:p>
    <w:p>
      <w:pPr>
        <w:autoSpaceDE w:val="0"/>
        <w:autoSpaceDN w:val="0"/>
        <w:adjustRightInd w:val="0"/>
        <w:spacing w:line="320" w:lineRule="exact"/>
        <w:jc w:val="center"/>
        <w:rPr>
          <w:rFonts w:ascii="宋体" w:hAnsi="宋体" w:cs="宋体"/>
          <w:b/>
          <w:sz w:val="24"/>
          <w:szCs w:val="20"/>
          <w:lang w:eastAsia="zh-CN"/>
        </w:rPr>
      </w:pPr>
    </w:p>
    <w:p>
      <w:pPr>
        <w:autoSpaceDE w:val="0"/>
        <w:autoSpaceDN w:val="0"/>
        <w:adjustRightInd w:val="0"/>
        <w:spacing w:line="320" w:lineRule="exact"/>
        <w:rPr>
          <w:rFonts w:ascii="宋体" w:hAnsi="宋体" w:cs="宋体"/>
          <w:sz w:val="24"/>
          <w:szCs w:val="20"/>
          <w:lang w:eastAsia="zh-CN"/>
        </w:rPr>
      </w:pPr>
      <w:r>
        <w:rPr>
          <w:rFonts w:hint="eastAsia" w:ascii="宋体" w:hAnsi="宋体" w:cs="宋体"/>
          <w:sz w:val="24"/>
          <w:szCs w:val="20"/>
          <w:lang w:eastAsia="zh-CN"/>
        </w:rPr>
        <w:t>项目编号、包号：                              报价单位：人民币元</w:t>
      </w:r>
    </w:p>
    <w:tbl>
      <w:tblPr>
        <w:tblStyle w:val="23"/>
        <w:tblpPr w:leftFromText="180" w:rightFromText="180" w:vertAnchor="text" w:horzAnchor="margin" w:tblpXSpec="center" w:tblpY="6"/>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88"/>
        <w:gridCol w:w="1489"/>
        <w:gridCol w:w="3232"/>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7"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编号</w:t>
            </w:r>
          </w:p>
        </w:tc>
        <w:tc>
          <w:tcPr>
            <w:tcW w:w="1488" w:type="dxa"/>
            <w:vMerge w:val="restar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货物名称</w:t>
            </w:r>
          </w:p>
        </w:tc>
        <w:tc>
          <w:tcPr>
            <w:tcW w:w="1489" w:type="dxa"/>
            <w:vMerge w:val="restar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规格型号</w:t>
            </w:r>
          </w:p>
        </w:tc>
        <w:tc>
          <w:tcPr>
            <w:tcW w:w="3232" w:type="dxa"/>
            <w:vMerge w:val="restar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lang w:eastAsia="zh-CN"/>
              </w:rPr>
            </w:pPr>
            <w:r>
              <w:rPr>
                <w:rFonts w:hint="eastAsia" w:ascii="宋体" w:hAnsi="宋体" w:cs="宋体"/>
                <w:sz w:val="24"/>
                <w:szCs w:val="20"/>
                <w:lang w:eastAsia="zh-CN"/>
              </w:rPr>
              <w:t>中国环境标志认证证书编号</w:t>
            </w:r>
          </w:p>
        </w:tc>
        <w:tc>
          <w:tcPr>
            <w:tcW w:w="2700"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840" w:firstLineChars="350"/>
              <w:rPr>
                <w:rFonts w:ascii="宋体" w:hAnsi="宋体" w:cs="宋体"/>
                <w:sz w:val="24"/>
                <w:szCs w:val="20"/>
              </w:rPr>
            </w:pPr>
            <w:r>
              <w:rPr>
                <w:rFonts w:hint="eastAsia" w:ascii="宋体" w:hAnsi="宋体" w:cs="宋体"/>
                <w:sz w:val="24"/>
                <w:szCs w:val="20"/>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7" w:type="dxa"/>
            <w:vMerge w:val="continue"/>
            <w:tcBorders>
              <w:top w:val="single" w:color="auto" w:sz="12" w:space="0"/>
              <w:left w:val="single" w:color="auto" w:sz="12" w:space="0"/>
              <w:bottom w:val="single" w:color="auto" w:sz="4" w:space="0"/>
              <w:right w:val="single" w:color="auto" w:sz="4" w:space="0"/>
            </w:tcBorders>
            <w:vAlign w:val="center"/>
          </w:tcPr>
          <w:p>
            <w:pPr>
              <w:widowControl/>
              <w:rPr>
                <w:rFonts w:ascii="宋体" w:hAnsi="宋体" w:cs="宋体"/>
                <w:sz w:val="24"/>
                <w:szCs w:val="20"/>
              </w:rPr>
            </w:pPr>
          </w:p>
        </w:tc>
        <w:tc>
          <w:tcPr>
            <w:tcW w:w="1488"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1489"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3232"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单价</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数量</w:t>
            </w:r>
          </w:p>
        </w:tc>
        <w:tc>
          <w:tcPr>
            <w:tcW w:w="90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1</w:t>
            </w:r>
          </w:p>
        </w:tc>
        <w:tc>
          <w:tcPr>
            <w:tcW w:w="1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14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3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0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480" w:firstLineChars="20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2</w:t>
            </w:r>
          </w:p>
        </w:tc>
        <w:tc>
          <w:tcPr>
            <w:tcW w:w="1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14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3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0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480" w:firstLineChars="20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3</w:t>
            </w:r>
          </w:p>
        </w:tc>
        <w:tc>
          <w:tcPr>
            <w:tcW w:w="1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r>
              <w:rPr>
                <w:rFonts w:hint="eastAsia" w:ascii="宋体" w:hAnsi="宋体" w:cs="宋体"/>
                <w:sz w:val="24"/>
                <w:szCs w:val="20"/>
              </w:rPr>
              <w:t>…</w:t>
            </w:r>
          </w:p>
        </w:tc>
        <w:tc>
          <w:tcPr>
            <w:tcW w:w="14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3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0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480" w:firstLineChars="200"/>
              <w:rPr>
                <w:rFonts w:ascii="宋体" w:hAnsi="宋体" w:cs="宋体"/>
                <w:sz w:val="24"/>
                <w:szCs w:val="20"/>
              </w:rPr>
            </w:pPr>
          </w:p>
        </w:tc>
      </w:tr>
    </w:tbl>
    <w:p>
      <w:pPr>
        <w:autoSpaceDE w:val="0"/>
        <w:autoSpaceDN w:val="0"/>
        <w:adjustRightInd w:val="0"/>
        <w:spacing w:line="320" w:lineRule="exact"/>
        <w:rPr>
          <w:rFonts w:ascii="宋体" w:hAnsi="宋体" w:cs="宋体"/>
          <w:sz w:val="24"/>
          <w:szCs w:val="20"/>
          <w:lang w:eastAsia="zh-CN"/>
        </w:rPr>
      </w:pPr>
      <w:r>
        <w:rPr>
          <w:rFonts w:hint="eastAsia" w:ascii="宋体" w:hAnsi="宋体" w:cs="宋体"/>
          <w:sz w:val="24"/>
          <w:szCs w:val="20"/>
          <w:lang w:eastAsia="zh-CN"/>
        </w:rPr>
        <w:t xml:space="preserve">说明：1、如所报产品为环保产品，请按要求逐项填写，响应文件工具自动合成本表； </w:t>
      </w:r>
    </w:p>
    <w:p>
      <w:pPr>
        <w:autoSpaceDE w:val="0"/>
        <w:autoSpaceDN w:val="0"/>
        <w:adjustRightInd w:val="0"/>
        <w:spacing w:line="320" w:lineRule="exact"/>
        <w:ind w:firstLine="720" w:firstLineChars="300"/>
        <w:rPr>
          <w:rFonts w:ascii="宋体" w:hAnsi="宋体" w:cs="宋体"/>
          <w:sz w:val="24"/>
          <w:szCs w:val="20"/>
          <w:lang w:eastAsia="zh-CN"/>
        </w:rPr>
      </w:pPr>
      <w:r>
        <w:rPr>
          <w:rFonts w:hint="eastAsia" w:ascii="宋体" w:hAnsi="宋体" w:cs="宋体"/>
          <w:sz w:val="24"/>
          <w:szCs w:val="20"/>
          <w:lang w:eastAsia="zh-CN"/>
        </w:rPr>
        <w:t>2、需上传PDF格式的环境标志产品认证证书，且证书内产品型号与所报产品型号完全一致，否则评审时不予加分。</w:t>
      </w:r>
    </w:p>
    <w:p>
      <w:pPr>
        <w:autoSpaceDE w:val="0"/>
        <w:autoSpaceDN w:val="0"/>
        <w:adjustRightInd w:val="0"/>
        <w:spacing w:line="320" w:lineRule="exact"/>
        <w:ind w:firstLine="480" w:firstLineChars="200"/>
        <w:rPr>
          <w:rFonts w:ascii="宋体" w:hAnsi="宋体" w:cs="宋体"/>
          <w:sz w:val="24"/>
          <w:szCs w:val="20"/>
          <w:lang w:eastAsia="zh-CN"/>
        </w:rPr>
      </w:pPr>
    </w:p>
    <w:p>
      <w:pPr>
        <w:autoSpaceDE w:val="0"/>
        <w:autoSpaceDN w:val="0"/>
        <w:adjustRightInd w:val="0"/>
        <w:spacing w:line="320" w:lineRule="exact"/>
        <w:ind w:firstLine="480" w:firstLineChars="200"/>
        <w:rPr>
          <w:rFonts w:ascii="宋体" w:hAnsi="宋体" w:cs="宋体"/>
          <w:sz w:val="24"/>
          <w:szCs w:val="20"/>
          <w:lang w:eastAsia="zh-CN"/>
        </w:rPr>
      </w:pPr>
      <w:r>
        <w:rPr>
          <w:rFonts w:hint="eastAsia" w:ascii="宋体" w:hAnsi="宋体" w:cs="宋体"/>
          <w:sz w:val="24"/>
          <w:szCs w:val="20"/>
          <w:lang w:eastAsia="zh-CN"/>
        </w:rPr>
        <w:br w:type="page"/>
      </w:r>
    </w:p>
    <w:p>
      <w:pPr>
        <w:pStyle w:val="6"/>
        <w:rPr>
          <w:rFonts w:cs="宋体"/>
          <w:sz w:val="30"/>
          <w:lang w:eastAsia="zh-CN"/>
        </w:rPr>
      </w:pPr>
      <w:bookmarkStart w:id="144" w:name="_Toc46238286"/>
      <w:bookmarkStart w:id="145" w:name="_Toc46136869"/>
      <w:bookmarkStart w:id="146" w:name="_Toc4296"/>
      <w:r>
        <w:rPr>
          <w:rFonts w:hint="eastAsia" w:cs="宋体"/>
          <w:lang w:eastAsia="zh-CN"/>
        </w:rPr>
        <w:t>16</w:t>
      </w:r>
      <w:r>
        <w:rPr>
          <w:rFonts w:hint="eastAsia" w:cs="宋体"/>
          <w:sz w:val="30"/>
          <w:lang w:eastAsia="zh-CN"/>
        </w:rPr>
        <w:t>.</w:t>
      </w:r>
      <w:r>
        <w:rPr>
          <w:rFonts w:hint="eastAsia" w:cs="宋体"/>
          <w:lang w:eastAsia="zh-CN"/>
        </w:rPr>
        <w:t>节能产品明细表</w:t>
      </w:r>
      <w:bookmarkEnd w:id="144"/>
      <w:bookmarkEnd w:id="145"/>
      <w:r>
        <w:rPr>
          <w:rFonts w:hint="eastAsia" w:cs="宋体"/>
          <w:lang w:eastAsia="zh-CN"/>
        </w:rPr>
        <w:t>（样表）</w:t>
      </w:r>
      <w:bookmarkEnd w:id="146"/>
    </w:p>
    <w:p>
      <w:pPr>
        <w:autoSpaceDE w:val="0"/>
        <w:autoSpaceDN w:val="0"/>
        <w:adjustRightInd w:val="0"/>
        <w:spacing w:line="320" w:lineRule="exact"/>
        <w:ind w:firstLine="480" w:firstLineChars="200"/>
        <w:rPr>
          <w:rFonts w:ascii="宋体" w:hAnsi="宋体" w:cs="宋体"/>
          <w:sz w:val="24"/>
          <w:szCs w:val="20"/>
          <w:lang w:eastAsia="zh-CN"/>
        </w:rPr>
      </w:pPr>
    </w:p>
    <w:p>
      <w:pPr>
        <w:autoSpaceDE w:val="0"/>
        <w:autoSpaceDN w:val="0"/>
        <w:adjustRightInd w:val="0"/>
        <w:spacing w:line="320" w:lineRule="exact"/>
        <w:rPr>
          <w:rFonts w:ascii="宋体" w:hAnsi="宋体" w:cs="宋体"/>
          <w:sz w:val="24"/>
          <w:szCs w:val="20"/>
          <w:lang w:eastAsia="zh-CN"/>
        </w:rPr>
      </w:pPr>
      <w:r>
        <w:rPr>
          <w:rFonts w:hint="eastAsia" w:ascii="宋体" w:hAnsi="宋体" w:cs="宋体"/>
          <w:sz w:val="24"/>
          <w:szCs w:val="20"/>
          <w:lang w:eastAsia="zh-CN"/>
        </w:rPr>
        <w:t>项目编号、包号：                                    报价单位：人民币元</w:t>
      </w:r>
    </w:p>
    <w:tbl>
      <w:tblPr>
        <w:tblStyle w:val="23"/>
        <w:tblpPr w:leftFromText="180" w:rightFromText="180" w:vertAnchor="text" w:horzAnchor="margin" w:tblpXSpec="center" w:tblpY="6"/>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701"/>
        <w:gridCol w:w="2593"/>
        <w:gridCol w:w="855"/>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7"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编号</w:t>
            </w:r>
          </w:p>
        </w:tc>
        <w:tc>
          <w:tcPr>
            <w:tcW w:w="1843" w:type="dxa"/>
            <w:vMerge w:val="restar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货物名称</w:t>
            </w:r>
          </w:p>
        </w:tc>
        <w:tc>
          <w:tcPr>
            <w:tcW w:w="1701" w:type="dxa"/>
            <w:vMerge w:val="restar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规格型号</w:t>
            </w:r>
          </w:p>
        </w:tc>
        <w:tc>
          <w:tcPr>
            <w:tcW w:w="2593" w:type="dxa"/>
            <w:vMerge w:val="restar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lang w:eastAsia="zh-CN"/>
              </w:rPr>
            </w:pPr>
            <w:r>
              <w:rPr>
                <w:rFonts w:hint="eastAsia" w:ascii="宋体" w:hAnsi="宋体" w:cs="宋体"/>
                <w:sz w:val="24"/>
                <w:szCs w:val="20"/>
                <w:lang w:eastAsia="zh-CN"/>
              </w:rPr>
              <w:t>节字标志认证证书编号</w:t>
            </w:r>
          </w:p>
        </w:tc>
        <w:tc>
          <w:tcPr>
            <w:tcW w:w="2765"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960" w:firstLineChars="400"/>
              <w:rPr>
                <w:rFonts w:ascii="宋体" w:hAnsi="宋体" w:cs="宋体"/>
                <w:sz w:val="24"/>
                <w:szCs w:val="20"/>
              </w:rPr>
            </w:pPr>
            <w:r>
              <w:rPr>
                <w:rFonts w:hint="eastAsia" w:ascii="宋体" w:hAnsi="宋体" w:cs="宋体"/>
                <w:sz w:val="24"/>
                <w:szCs w:val="20"/>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7" w:type="dxa"/>
            <w:vMerge w:val="continue"/>
            <w:tcBorders>
              <w:top w:val="single" w:color="auto" w:sz="12" w:space="0"/>
              <w:left w:val="single" w:color="auto" w:sz="12" w:space="0"/>
              <w:bottom w:val="single" w:color="auto" w:sz="4" w:space="0"/>
              <w:right w:val="single" w:color="auto" w:sz="4" w:space="0"/>
            </w:tcBorders>
            <w:vAlign w:val="center"/>
          </w:tcPr>
          <w:p>
            <w:pPr>
              <w:widowControl/>
              <w:rPr>
                <w:rFonts w:ascii="宋体" w:hAnsi="宋体" w:cs="宋体"/>
                <w:sz w:val="24"/>
                <w:szCs w:val="20"/>
              </w:rPr>
            </w:pPr>
          </w:p>
        </w:tc>
        <w:tc>
          <w:tcPr>
            <w:tcW w:w="1843"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1701"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2593"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单价</w:t>
            </w:r>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数量</w:t>
            </w:r>
          </w:p>
        </w:tc>
        <w:tc>
          <w:tcPr>
            <w:tcW w:w="95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1</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5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480" w:firstLineChars="20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2</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5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480" w:firstLineChars="20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3</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r>
              <w:rPr>
                <w:rFonts w:hint="eastAsia" w:ascii="宋体" w:hAnsi="宋体" w:cs="宋体"/>
                <w:sz w:val="24"/>
                <w:szCs w:val="20"/>
              </w:rPr>
              <w:t>…</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tc>
        <w:tc>
          <w:tcPr>
            <w:tcW w:w="95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480" w:firstLineChars="200"/>
              <w:rPr>
                <w:rFonts w:ascii="宋体" w:hAnsi="宋体" w:cs="宋体"/>
                <w:sz w:val="24"/>
                <w:szCs w:val="20"/>
              </w:rPr>
            </w:pPr>
          </w:p>
        </w:tc>
      </w:tr>
    </w:tbl>
    <w:p>
      <w:pPr>
        <w:autoSpaceDE w:val="0"/>
        <w:autoSpaceDN w:val="0"/>
        <w:adjustRightInd w:val="0"/>
        <w:spacing w:line="320" w:lineRule="exact"/>
        <w:rPr>
          <w:rFonts w:ascii="宋体" w:hAnsi="宋体" w:cs="宋体"/>
          <w:sz w:val="24"/>
          <w:szCs w:val="20"/>
          <w:lang w:eastAsia="zh-CN"/>
        </w:rPr>
      </w:pPr>
      <w:r>
        <w:rPr>
          <w:rFonts w:hint="eastAsia" w:ascii="宋体" w:hAnsi="宋体" w:cs="宋体"/>
          <w:sz w:val="24"/>
          <w:szCs w:val="20"/>
          <w:lang w:eastAsia="zh-CN"/>
        </w:rPr>
        <w:t xml:space="preserve">说明：1、如所报产品为节能产品，请按要求逐项填写，响应文件工具自动合成本表； </w:t>
      </w:r>
    </w:p>
    <w:p>
      <w:pPr>
        <w:autoSpaceDE w:val="0"/>
        <w:autoSpaceDN w:val="0"/>
        <w:adjustRightInd w:val="0"/>
        <w:spacing w:line="320" w:lineRule="exact"/>
        <w:ind w:left="123" w:leftChars="56" w:firstLine="600" w:firstLineChars="250"/>
        <w:rPr>
          <w:rFonts w:ascii="宋体" w:hAnsi="宋体" w:cs="宋体"/>
          <w:sz w:val="24"/>
          <w:szCs w:val="20"/>
          <w:lang w:eastAsia="zh-CN"/>
        </w:rPr>
      </w:pPr>
      <w:r>
        <w:rPr>
          <w:rFonts w:hint="eastAsia" w:ascii="宋体" w:hAnsi="宋体" w:cs="宋体"/>
          <w:sz w:val="24"/>
          <w:szCs w:val="20"/>
          <w:lang w:eastAsia="zh-CN"/>
        </w:rPr>
        <w:t>2、需上传PDF格式节能产品认证证书，且证书内产品型号与所报产品型号完全一致，否则评审时不予加分（非强制节能产品）；如为强制节能产品，未提供产品认证证书或证书内产品型号与所报产品型号不完全一致的，将被认定为无效响应。</w:t>
      </w:r>
    </w:p>
    <w:p>
      <w:pPr>
        <w:autoSpaceDE w:val="0"/>
        <w:autoSpaceDN w:val="0"/>
        <w:adjustRightInd w:val="0"/>
        <w:spacing w:line="320" w:lineRule="exact"/>
        <w:ind w:firstLine="480" w:firstLineChars="200"/>
        <w:rPr>
          <w:rFonts w:ascii="宋体" w:hAnsi="宋体" w:cs="宋体"/>
          <w:sz w:val="24"/>
          <w:szCs w:val="20"/>
          <w:lang w:eastAsia="zh-CN"/>
        </w:rPr>
      </w:pPr>
    </w:p>
    <w:p>
      <w:pPr>
        <w:autoSpaceDE w:val="0"/>
        <w:autoSpaceDN w:val="0"/>
        <w:adjustRightInd w:val="0"/>
        <w:spacing w:line="320" w:lineRule="exact"/>
        <w:ind w:firstLine="480" w:firstLineChars="200"/>
        <w:rPr>
          <w:rFonts w:ascii="宋体" w:hAnsi="宋体" w:cs="宋体"/>
          <w:sz w:val="24"/>
          <w:szCs w:val="20"/>
          <w:lang w:eastAsia="zh-CN"/>
        </w:rPr>
      </w:pPr>
    </w:p>
    <w:p>
      <w:pPr>
        <w:pStyle w:val="6"/>
        <w:rPr>
          <w:rFonts w:cs="宋体"/>
          <w:sz w:val="30"/>
          <w:lang w:eastAsia="zh-CN"/>
        </w:rPr>
      </w:pPr>
      <w:bookmarkStart w:id="147" w:name="_Toc46238287"/>
      <w:bookmarkStart w:id="148" w:name="_Toc46136870"/>
      <w:bookmarkStart w:id="149" w:name="_Toc30294"/>
      <w:r>
        <w:rPr>
          <w:rFonts w:hint="eastAsia" w:cs="宋体"/>
          <w:lang w:eastAsia="zh-CN"/>
        </w:rPr>
        <w:t>17</w:t>
      </w:r>
      <w:r>
        <w:rPr>
          <w:rFonts w:hint="eastAsia" w:cs="宋体"/>
          <w:sz w:val="30"/>
          <w:lang w:eastAsia="zh-CN"/>
        </w:rPr>
        <w:t>.</w:t>
      </w:r>
      <w:r>
        <w:rPr>
          <w:rFonts w:hint="eastAsia" w:cs="宋体"/>
          <w:lang w:eastAsia="zh-CN"/>
        </w:rPr>
        <w:t>进口产品明细表</w:t>
      </w:r>
      <w:bookmarkEnd w:id="147"/>
      <w:bookmarkEnd w:id="148"/>
      <w:r>
        <w:rPr>
          <w:rFonts w:hint="eastAsia" w:cs="宋体"/>
          <w:lang w:eastAsia="zh-CN"/>
        </w:rPr>
        <w:t>（样表）</w:t>
      </w:r>
      <w:bookmarkEnd w:id="149"/>
    </w:p>
    <w:p>
      <w:pPr>
        <w:autoSpaceDE w:val="0"/>
        <w:autoSpaceDN w:val="0"/>
        <w:adjustRightInd w:val="0"/>
        <w:spacing w:line="320" w:lineRule="exact"/>
        <w:rPr>
          <w:rFonts w:ascii="宋体" w:hAnsi="宋体" w:cs="宋体"/>
          <w:sz w:val="24"/>
          <w:szCs w:val="20"/>
          <w:lang w:eastAsia="zh-CN"/>
        </w:rPr>
      </w:pPr>
    </w:p>
    <w:p>
      <w:pPr>
        <w:autoSpaceDE w:val="0"/>
        <w:autoSpaceDN w:val="0"/>
        <w:adjustRightInd w:val="0"/>
        <w:spacing w:line="320" w:lineRule="exact"/>
        <w:rPr>
          <w:rFonts w:ascii="宋体" w:hAnsi="宋体" w:cs="宋体"/>
          <w:sz w:val="24"/>
          <w:szCs w:val="20"/>
          <w:lang w:eastAsia="zh-CN"/>
        </w:rPr>
      </w:pPr>
      <w:r>
        <w:rPr>
          <w:rFonts w:hint="eastAsia" w:ascii="宋体" w:hAnsi="宋体" w:cs="宋体"/>
          <w:sz w:val="24"/>
          <w:szCs w:val="20"/>
          <w:lang w:eastAsia="zh-CN"/>
        </w:rPr>
        <w:t>项目编号、包号：                              报价单位：人民币元</w:t>
      </w:r>
    </w:p>
    <w:tbl>
      <w:tblPr>
        <w:tblStyle w:val="23"/>
        <w:tblpPr w:leftFromText="180" w:rightFromText="180" w:vertAnchor="text" w:horzAnchor="margin" w:tblpXSpec="center" w:tblpY="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94"/>
        <w:gridCol w:w="1215"/>
        <w:gridCol w:w="1418"/>
        <w:gridCol w:w="1687"/>
        <w:gridCol w:w="1080"/>
        <w:gridCol w:w="108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Merge w:val="restart"/>
            <w:tcBorders>
              <w:top w:val="single" w:color="auto" w:sz="12" w:space="0"/>
              <w:left w:val="single" w:color="auto" w:sz="12"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lang w:eastAsia="zh-CN"/>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序号</w:t>
            </w:r>
          </w:p>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ind w:firstLine="480" w:firstLineChars="200"/>
              <w:rPr>
                <w:rFonts w:ascii="宋体" w:hAnsi="宋体" w:cs="宋体"/>
                <w:sz w:val="24"/>
                <w:szCs w:val="20"/>
              </w:rPr>
            </w:pPr>
          </w:p>
        </w:tc>
        <w:tc>
          <w:tcPr>
            <w:tcW w:w="1194" w:type="dxa"/>
            <w:vMerge w:val="restart"/>
            <w:tcBorders>
              <w:top w:val="single" w:color="auto" w:sz="12"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宋体"/>
                <w:sz w:val="24"/>
                <w:szCs w:val="20"/>
              </w:rPr>
            </w:pPr>
          </w:p>
          <w:p>
            <w:pPr>
              <w:autoSpaceDE w:val="0"/>
              <w:autoSpaceDN w:val="0"/>
              <w:adjustRightInd w:val="0"/>
              <w:spacing w:line="320" w:lineRule="exact"/>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货物名称</w:t>
            </w:r>
          </w:p>
        </w:tc>
        <w:tc>
          <w:tcPr>
            <w:tcW w:w="1215" w:type="dxa"/>
            <w:vMerge w:val="restart"/>
            <w:tcBorders>
              <w:top w:val="single" w:color="auto" w:sz="12"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制造商</w:t>
            </w:r>
          </w:p>
        </w:tc>
        <w:tc>
          <w:tcPr>
            <w:tcW w:w="1418" w:type="dxa"/>
            <w:vMerge w:val="restart"/>
            <w:tcBorders>
              <w:top w:val="single" w:color="auto" w:sz="12"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品牌型号</w:t>
            </w:r>
          </w:p>
        </w:tc>
        <w:tc>
          <w:tcPr>
            <w:tcW w:w="1687" w:type="dxa"/>
            <w:vMerge w:val="restart"/>
            <w:tcBorders>
              <w:top w:val="single" w:color="auto" w:sz="12"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ind w:firstLine="480" w:firstLineChars="200"/>
              <w:rPr>
                <w:rFonts w:ascii="宋体" w:hAnsi="宋体" w:cs="宋体"/>
                <w:sz w:val="24"/>
                <w:szCs w:val="20"/>
              </w:rPr>
            </w:pPr>
            <w:r>
              <w:rPr>
                <w:rFonts w:hint="eastAsia" w:ascii="宋体" w:hAnsi="宋体" w:cs="宋体"/>
                <w:sz w:val="24"/>
                <w:szCs w:val="20"/>
              </w:rPr>
              <w:t>产地</w:t>
            </w:r>
          </w:p>
        </w:tc>
        <w:tc>
          <w:tcPr>
            <w:tcW w:w="3382" w:type="dxa"/>
            <w:gridSpan w:val="3"/>
            <w:tcBorders>
              <w:top w:val="single" w:color="auto" w:sz="12" w:space="0"/>
              <w:left w:val="single" w:color="auto" w:sz="4" w:space="0"/>
              <w:bottom w:val="single" w:color="auto" w:sz="4" w:space="0"/>
              <w:right w:val="single" w:color="auto" w:sz="12" w:space="0"/>
            </w:tcBorders>
          </w:tcPr>
          <w:p>
            <w:pPr>
              <w:autoSpaceDE w:val="0"/>
              <w:autoSpaceDN w:val="0"/>
              <w:adjustRightInd w:val="0"/>
              <w:spacing w:line="320" w:lineRule="exact"/>
              <w:ind w:firstLine="1200" w:firstLineChars="500"/>
              <w:rPr>
                <w:rFonts w:ascii="宋体" w:hAnsi="宋体" w:cs="宋体"/>
                <w:sz w:val="24"/>
                <w:szCs w:val="20"/>
              </w:rPr>
            </w:pPr>
            <w:r>
              <w:rPr>
                <w:rFonts w:hint="eastAsia" w:ascii="宋体" w:hAnsi="宋体" w:cs="宋体"/>
                <w:sz w:val="24"/>
                <w:szCs w:val="20"/>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vMerge w:val="continue"/>
            <w:tcBorders>
              <w:top w:val="single" w:color="auto" w:sz="12" w:space="0"/>
              <w:left w:val="single" w:color="auto" w:sz="12" w:space="0"/>
              <w:bottom w:val="single" w:color="auto" w:sz="4" w:space="0"/>
              <w:right w:val="single" w:color="auto" w:sz="4" w:space="0"/>
            </w:tcBorders>
            <w:vAlign w:val="center"/>
          </w:tcPr>
          <w:p>
            <w:pPr>
              <w:widowControl/>
              <w:rPr>
                <w:rFonts w:ascii="宋体" w:hAnsi="宋体" w:cs="宋体"/>
                <w:sz w:val="24"/>
                <w:szCs w:val="20"/>
              </w:rPr>
            </w:pPr>
          </w:p>
        </w:tc>
        <w:tc>
          <w:tcPr>
            <w:tcW w:w="1194"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1215"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1418"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1687"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单价</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数量</w:t>
            </w:r>
          </w:p>
        </w:tc>
        <w:tc>
          <w:tcPr>
            <w:tcW w:w="1222"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320" w:lineRule="exact"/>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1</w:t>
            </w:r>
          </w:p>
        </w:tc>
        <w:tc>
          <w:tcPr>
            <w:tcW w:w="11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2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6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222"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320" w:lineRule="exact"/>
              <w:ind w:firstLine="480" w:firstLineChars="20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2</w:t>
            </w:r>
          </w:p>
        </w:tc>
        <w:tc>
          <w:tcPr>
            <w:tcW w:w="11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2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6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222"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320" w:lineRule="exact"/>
              <w:ind w:firstLine="480" w:firstLineChars="20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3</w:t>
            </w:r>
          </w:p>
        </w:tc>
        <w:tc>
          <w:tcPr>
            <w:tcW w:w="11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p>
            <w:pPr>
              <w:autoSpaceDE w:val="0"/>
              <w:autoSpaceDN w:val="0"/>
              <w:adjustRightInd w:val="0"/>
              <w:spacing w:line="320" w:lineRule="exact"/>
              <w:ind w:firstLine="480" w:firstLineChars="200"/>
              <w:rPr>
                <w:rFonts w:ascii="宋体" w:hAnsi="宋体" w:cs="宋体"/>
                <w:sz w:val="24"/>
                <w:szCs w:val="20"/>
              </w:rPr>
            </w:pPr>
            <w:r>
              <w:rPr>
                <w:rFonts w:hint="eastAsia" w:ascii="宋体" w:hAnsi="宋体" w:cs="宋体"/>
                <w:sz w:val="24"/>
                <w:szCs w:val="20"/>
              </w:rPr>
              <w:t>…</w:t>
            </w:r>
          </w:p>
        </w:tc>
        <w:tc>
          <w:tcPr>
            <w:tcW w:w="12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6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222"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320" w:lineRule="exact"/>
              <w:ind w:firstLine="480" w:firstLineChars="20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0"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pacing w:line="320" w:lineRule="exact"/>
              <w:ind w:firstLine="420" w:firstLineChars="175"/>
              <w:rPr>
                <w:rFonts w:ascii="宋体" w:hAnsi="宋体" w:cs="宋体"/>
                <w:sz w:val="24"/>
                <w:szCs w:val="20"/>
              </w:rPr>
            </w:pPr>
          </w:p>
          <w:p>
            <w:pPr>
              <w:autoSpaceDE w:val="0"/>
              <w:autoSpaceDN w:val="0"/>
              <w:adjustRightInd w:val="0"/>
              <w:spacing w:line="320" w:lineRule="exact"/>
              <w:rPr>
                <w:rFonts w:ascii="宋体" w:hAnsi="宋体" w:cs="宋体"/>
                <w:sz w:val="24"/>
                <w:szCs w:val="20"/>
              </w:rPr>
            </w:pPr>
            <w:r>
              <w:rPr>
                <w:rFonts w:hint="eastAsia" w:ascii="宋体" w:hAnsi="宋体" w:cs="宋体"/>
                <w:sz w:val="24"/>
                <w:szCs w:val="20"/>
              </w:rPr>
              <w:t>4</w:t>
            </w:r>
          </w:p>
        </w:tc>
        <w:tc>
          <w:tcPr>
            <w:tcW w:w="5514" w:type="dxa"/>
            <w:gridSpan w:val="4"/>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320" w:lineRule="exact"/>
              <w:ind w:firstLine="480" w:firstLineChars="200"/>
              <w:rPr>
                <w:rFonts w:ascii="宋体" w:hAnsi="宋体" w:cs="宋体"/>
                <w:sz w:val="24"/>
                <w:szCs w:val="20"/>
              </w:rPr>
            </w:pPr>
            <w:r>
              <w:rPr>
                <w:rFonts w:hint="eastAsia" w:ascii="宋体" w:hAnsi="宋体" w:cs="宋体"/>
                <w:sz w:val="24"/>
                <w:szCs w:val="20"/>
              </w:rPr>
              <w:t>合计</w:t>
            </w:r>
          </w:p>
        </w:tc>
        <w:tc>
          <w:tcPr>
            <w:tcW w:w="1080" w:type="dxa"/>
            <w:tcBorders>
              <w:top w:val="single" w:color="auto" w:sz="4" w:space="0"/>
              <w:left w:val="single" w:color="auto" w:sz="4" w:space="0"/>
              <w:bottom w:val="single" w:color="auto" w:sz="12"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080" w:type="dxa"/>
            <w:tcBorders>
              <w:top w:val="single" w:color="auto" w:sz="4" w:space="0"/>
              <w:left w:val="single" w:color="auto" w:sz="4" w:space="0"/>
              <w:bottom w:val="single" w:color="auto" w:sz="12" w:space="0"/>
              <w:right w:val="single" w:color="auto" w:sz="4" w:space="0"/>
            </w:tcBorders>
          </w:tcPr>
          <w:p>
            <w:pPr>
              <w:autoSpaceDE w:val="0"/>
              <w:autoSpaceDN w:val="0"/>
              <w:adjustRightInd w:val="0"/>
              <w:spacing w:line="320" w:lineRule="exact"/>
              <w:ind w:firstLine="480" w:firstLineChars="200"/>
              <w:rPr>
                <w:rFonts w:ascii="宋体" w:hAnsi="宋体" w:cs="宋体"/>
                <w:sz w:val="24"/>
                <w:szCs w:val="20"/>
              </w:rPr>
            </w:pPr>
          </w:p>
        </w:tc>
        <w:tc>
          <w:tcPr>
            <w:tcW w:w="1222" w:type="dxa"/>
            <w:tcBorders>
              <w:top w:val="single" w:color="auto" w:sz="4" w:space="0"/>
              <w:left w:val="single" w:color="auto" w:sz="4" w:space="0"/>
              <w:bottom w:val="single" w:color="auto" w:sz="12" w:space="0"/>
              <w:right w:val="single" w:color="auto" w:sz="12" w:space="0"/>
            </w:tcBorders>
          </w:tcPr>
          <w:p>
            <w:pPr>
              <w:autoSpaceDE w:val="0"/>
              <w:autoSpaceDN w:val="0"/>
              <w:adjustRightInd w:val="0"/>
              <w:spacing w:line="320" w:lineRule="exact"/>
              <w:ind w:firstLine="480" w:firstLineChars="200"/>
              <w:rPr>
                <w:rFonts w:ascii="宋体" w:hAnsi="宋体" w:cs="宋体"/>
                <w:sz w:val="24"/>
                <w:szCs w:val="20"/>
              </w:rPr>
            </w:pPr>
          </w:p>
        </w:tc>
      </w:tr>
    </w:tbl>
    <w:p>
      <w:pPr>
        <w:autoSpaceDE w:val="0"/>
        <w:autoSpaceDN w:val="0"/>
        <w:adjustRightInd w:val="0"/>
        <w:spacing w:line="320" w:lineRule="exact"/>
        <w:rPr>
          <w:rFonts w:ascii="宋体" w:hAnsi="宋体" w:cs="宋体"/>
          <w:sz w:val="24"/>
          <w:szCs w:val="20"/>
          <w:lang w:eastAsia="zh-CN"/>
        </w:rPr>
      </w:pPr>
      <w:r>
        <w:rPr>
          <w:rFonts w:hint="eastAsia" w:ascii="宋体" w:hAnsi="宋体" w:cs="宋体"/>
          <w:sz w:val="24"/>
          <w:szCs w:val="20"/>
          <w:lang w:eastAsia="zh-CN"/>
        </w:rPr>
        <w:t>说明：如所报产品为进口产品，必须按要求逐项填写。</w:t>
      </w:r>
    </w:p>
    <w:p>
      <w:pPr>
        <w:autoSpaceDE w:val="0"/>
        <w:autoSpaceDN w:val="0"/>
        <w:adjustRightInd w:val="0"/>
        <w:spacing w:line="320" w:lineRule="exact"/>
        <w:ind w:firstLine="480" w:firstLineChars="200"/>
        <w:rPr>
          <w:rFonts w:ascii="宋体" w:hAnsi="宋体" w:cs="宋体"/>
          <w:sz w:val="24"/>
          <w:szCs w:val="20"/>
          <w:lang w:eastAsia="zh-CN"/>
        </w:rPr>
      </w:pPr>
    </w:p>
    <w:p>
      <w:pPr>
        <w:spacing w:line="240" w:lineRule="atLeast"/>
        <w:ind w:left="1105" w:leftChars="257" w:hanging="540"/>
        <w:jc w:val="center"/>
        <w:rPr>
          <w:rFonts w:ascii="宋体" w:hAnsi="宋体" w:cs="宋体"/>
          <w:lang w:eastAsia="zh-CN"/>
        </w:rPr>
      </w:pPr>
    </w:p>
    <w:p>
      <w:pPr>
        <w:autoSpaceDE w:val="0"/>
        <w:autoSpaceDN w:val="0"/>
        <w:adjustRightInd w:val="0"/>
        <w:spacing w:line="320" w:lineRule="exact"/>
        <w:ind w:firstLine="480" w:firstLineChars="200"/>
        <w:rPr>
          <w:rFonts w:ascii="宋体" w:hAnsi="宋体" w:cs="宋体"/>
          <w:sz w:val="24"/>
          <w:szCs w:val="20"/>
          <w:lang w:eastAsia="zh-CN"/>
        </w:rPr>
      </w:pPr>
      <w:bookmarkStart w:id="150" w:name="_Toc518923122"/>
    </w:p>
    <w:p>
      <w:pPr>
        <w:autoSpaceDE w:val="0"/>
        <w:autoSpaceDN w:val="0"/>
        <w:adjustRightInd w:val="0"/>
        <w:spacing w:line="320" w:lineRule="exact"/>
        <w:ind w:firstLine="480" w:firstLineChars="200"/>
        <w:rPr>
          <w:rFonts w:ascii="宋体" w:hAnsi="宋体" w:cs="宋体"/>
          <w:sz w:val="24"/>
          <w:szCs w:val="20"/>
          <w:lang w:eastAsia="zh-CN"/>
        </w:rPr>
      </w:pPr>
    </w:p>
    <w:p>
      <w:pPr>
        <w:pStyle w:val="6"/>
        <w:rPr>
          <w:rFonts w:cs="宋体"/>
          <w:lang w:eastAsia="zh-CN"/>
        </w:rPr>
      </w:pPr>
      <w:bookmarkStart w:id="151" w:name="_Toc46238288"/>
      <w:bookmarkStart w:id="152" w:name="_Toc21745"/>
      <w:bookmarkStart w:id="153" w:name="_Toc46136871"/>
      <w:r>
        <w:rPr>
          <w:rFonts w:hint="eastAsia" w:cs="宋体"/>
          <w:lang w:eastAsia="zh-CN"/>
        </w:rPr>
        <w:t>18.技术评审文件</w:t>
      </w:r>
      <w:bookmarkEnd w:id="151"/>
      <w:bookmarkEnd w:id="152"/>
      <w:bookmarkEnd w:id="153"/>
    </w:p>
    <w:p>
      <w:pPr>
        <w:spacing w:line="276" w:lineRule="auto"/>
        <w:rPr>
          <w:rFonts w:ascii="宋体" w:hAnsi="宋体" w:cs="宋体"/>
          <w:sz w:val="24"/>
          <w:lang w:eastAsia="zh-CN"/>
        </w:rPr>
      </w:pPr>
    </w:p>
    <w:p>
      <w:pPr>
        <w:spacing w:line="276" w:lineRule="auto"/>
        <w:rPr>
          <w:rFonts w:ascii="宋体" w:hAnsi="宋体" w:cs="宋体"/>
          <w:sz w:val="24"/>
          <w:lang w:eastAsia="zh-CN"/>
        </w:rPr>
      </w:pPr>
      <w:r>
        <w:rPr>
          <w:rFonts w:hint="eastAsia" w:ascii="宋体" w:hAnsi="宋体" w:cs="宋体"/>
          <w:sz w:val="24"/>
          <w:lang w:eastAsia="zh-CN"/>
        </w:rPr>
        <w:t>技术部分评分中要求的相关技术文件，还应包括供应商须知第10条的所有技术文件。</w:t>
      </w:r>
    </w:p>
    <w:p>
      <w:pPr>
        <w:autoSpaceDE w:val="0"/>
        <w:autoSpaceDN w:val="0"/>
        <w:adjustRightInd w:val="0"/>
        <w:spacing w:line="320" w:lineRule="exact"/>
        <w:ind w:firstLine="480" w:firstLineChars="200"/>
        <w:rPr>
          <w:rFonts w:ascii="宋体" w:hAnsi="宋体" w:cs="宋体"/>
          <w:sz w:val="24"/>
          <w:szCs w:val="20"/>
          <w:lang w:eastAsia="zh-CN"/>
        </w:rPr>
      </w:pPr>
    </w:p>
    <w:p>
      <w:pPr>
        <w:spacing w:line="276" w:lineRule="auto"/>
        <w:rPr>
          <w:rFonts w:ascii="宋体" w:hAnsi="宋体" w:cs="宋体"/>
          <w:sz w:val="24"/>
          <w:lang w:eastAsia="zh-CN"/>
        </w:rPr>
      </w:pPr>
    </w:p>
    <w:p>
      <w:pPr>
        <w:pStyle w:val="6"/>
        <w:rPr>
          <w:rFonts w:cs="宋体"/>
          <w:lang w:eastAsia="zh-CN"/>
        </w:rPr>
      </w:pPr>
      <w:bookmarkStart w:id="154" w:name="_Toc46238290"/>
      <w:bookmarkStart w:id="155" w:name="_Toc27073"/>
      <w:bookmarkStart w:id="156" w:name="_Toc46136873"/>
      <w:r>
        <w:rPr>
          <w:rFonts w:hint="eastAsia" w:cs="宋体"/>
          <w:lang w:eastAsia="zh-CN"/>
        </w:rPr>
        <w:t>19.其他用于评分的证明材料</w:t>
      </w:r>
      <w:bookmarkEnd w:id="154"/>
      <w:bookmarkEnd w:id="155"/>
      <w:bookmarkEnd w:id="156"/>
    </w:p>
    <w:p>
      <w:pPr>
        <w:spacing w:line="276" w:lineRule="auto"/>
        <w:rPr>
          <w:rFonts w:ascii="宋体" w:hAnsi="宋体" w:cs="宋体"/>
          <w:sz w:val="24"/>
          <w:lang w:eastAsia="zh-CN"/>
        </w:rPr>
      </w:pPr>
    </w:p>
    <w:p>
      <w:pPr>
        <w:spacing w:line="276" w:lineRule="auto"/>
        <w:rPr>
          <w:rFonts w:ascii="宋体" w:hAnsi="宋体" w:cs="宋体"/>
          <w:sz w:val="24"/>
          <w:lang w:eastAsia="zh-CN"/>
        </w:rPr>
      </w:pPr>
      <w:r>
        <w:rPr>
          <w:rFonts w:hint="eastAsia" w:ascii="宋体" w:hAnsi="宋体" w:cs="宋体"/>
          <w:sz w:val="24"/>
          <w:lang w:eastAsia="zh-CN"/>
        </w:rPr>
        <w:t>评分中要求的相关文件。</w:t>
      </w:r>
    </w:p>
    <w:p>
      <w:pPr>
        <w:spacing w:line="276" w:lineRule="auto"/>
        <w:rPr>
          <w:rFonts w:ascii="宋体" w:hAnsi="宋体" w:cs="宋体"/>
          <w:sz w:val="24"/>
          <w:lang w:eastAsia="zh-CN"/>
        </w:rPr>
      </w:pPr>
    </w:p>
    <w:p>
      <w:pPr>
        <w:spacing w:line="276" w:lineRule="auto"/>
        <w:rPr>
          <w:rFonts w:ascii="宋体" w:hAnsi="宋体" w:cs="宋体"/>
          <w:sz w:val="24"/>
          <w:lang w:eastAsia="zh-CN"/>
        </w:rPr>
      </w:pPr>
    </w:p>
    <w:p>
      <w:pPr>
        <w:pStyle w:val="6"/>
        <w:rPr>
          <w:rFonts w:cs="宋体"/>
          <w:lang w:eastAsia="zh-CN"/>
        </w:rPr>
      </w:pPr>
      <w:bookmarkStart w:id="157" w:name="_Toc46238291"/>
      <w:bookmarkStart w:id="158" w:name="_Toc46136874"/>
      <w:bookmarkStart w:id="159" w:name="_Toc15900"/>
      <w:r>
        <w:rPr>
          <w:rFonts w:hint="eastAsia" w:cs="宋体"/>
          <w:lang w:eastAsia="zh-CN"/>
        </w:rPr>
        <w:t>20.案例一览表</w:t>
      </w:r>
      <w:bookmarkEnd w:id="157"/>
      <w:bookmarkEnd w:id="158"/>
      <w:bookmarkEnd w:id="159"/>
    </w:p>
    <w:p>
      <w:pPr>
        <w:spacing w:line="360" w:lineRule="auto"/>
        <w:ind w:right="187"/>
        <w:rPr>
          <w:rFonts w:ascii="宋体" w:hAnsi="宋体" w:cs="宋体"/>
          <w:szCs w:val="21"/>
          <w:lang w:eastAsia="zh-CN"/>
        </w:rPr>
      </w:pPr>
    </w:p>
    <w:p>
      <w:pPr>
        <w:spacing w:line="360" w:lineRule="auto"/>
        <w:ind w:right="187"/>
        <w:jc w:val="center"/>
        <w:rPr>
          <w:rFonts w:ascii="宋体" w:hAnsi="宋体" w:cs="宋体"/>
          <w:sz w:val="30"/>
          <w:szCs w:val="30"/>
          <w:lang w:eastAsia="zh-CN"/>
        </w:rPr>
      </w:pPr>
      <w:r>
        <w:rPr>
          <w:rFonts w:hint="eastAsia" w:ascii="宋体" w:hAnsi="宋体" w:cs="宋体"/>
          <w:sz w:val="30"/>
          <w:szCs w:val="30"/>
          <w:lang w:eastAsia="zh-CN"/>
        </w:rPr>
        <w:t>案例一览表及合同复印件（样表）</w:t>
      </w:r>
    </w:p>
    <w:p>
      <w:pPr>
        <w:spacing w:line="360" w:lineRule="auto"/>
        <w:ind w:right="187"/>
        <w:jc w:val="center"/>
        <w:rPr>
          <w:rFonts w:ascii="宋体" w:hAnsi="宋体" w:cs="宋体"/>
          <w:sz w:val="24"/>
          <w:lang w:eastAsia="zh-CN"/>
        </w:rPr>
      </w:pPr>
      <w:r>
        <w:rPr>
          <w:rFonts w:hint="eastAsia" w:ascii="宋体" w:hAnsi="宋体" w:cs="宋体"/>
          <w:sz w:val="24"/>
          <w:lang w:eastAsia="zh-CN"/>
        </w:rPr>
        <w:t>同案例一览表</w:t>
      </w:r>
    </w:p>
    <w:p>
      <w:pPr>
        <w:spacing w:line="360" w:lineRule="auto"/>
        <w:ind w:right="187"/>
        <w:rPr>
          <w:rFonts w:ascii="宋体" w:hAnsi="宋体" w:cs="宋体"/>
          <w:bCs/>
          <w:sz w:val="24"/>
          <w:lang w:eastAsia="zh-CN"/>
        </w:rPr>
      </w:pPr>
      <w:r>
        <w:rPr>
          <w:rFonts w:hint="eastAsia" w:ascii="宋体" w:hAnsi="宋体" w:cs="宋体"/>
          <w:bCs/>
          <w:sz w:val="24"/>
          <w:lang w:eastAsia="zh-CN"/>
        </w:rPr>
        <w:t>项目编号、包号                                   报价单位：人民币元</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64"/>
        <w:gridCol w:w="901"/>
        <w:gridCol w:w="1078"/>
        <w:gridCol w:w="1115"/>
        <w:gridCol w:w="1090"/>
        <w:gridCol w:w="125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566"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序号</w:t>
            </w:r>
          </w:p>
        </w:tc>
        <w:tc>
          <w:tcPr>
            <w:tcW w:w="1264"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项目内容</w:t>
            </w:r>
          </w:p>
        </w:tc>
        <w:tc>
          <w:tcPr>
            <w:tcW w:w="90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合同金额</w:t>
            </w:r>
          </w:p>
        </w:tc>
        <w:tc>
          <w:tcPr>
            <w:tcW w:w="1078"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项目单位名称</w:t>
            </w:r>
          </w:p>
        </w:tc>
        <w:tc>
          <w:tcPr>
            <w:tcW w:w="1115"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项目单位地址</w:t>
            </w:r>
          </w:p>
        </w:tc>
        <w:tc>
          <w:tcPr>
            <w:tcW w:w="109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合同签订日期</w:t>
            </w:r>
          </w:p>
        </w:tc>
        <w:tc>
          <w:tcPr>
            <w:tcW w:w="1257"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4"/>
                <w:lang w:eastAsia="zh-CN"/>
              </w:rPr>
            </w:pPr>
            <w:r>
              <w:rPr>
                <w:rFonts w:hint="eastAsia" w:ascii="宋体" w:hAnsi="宋体" w:cs="宋体"/>
                <w:sz w:val="24"/>
                <w:lang w:eastAsia="zh-CN"/>
              </w:rPr>
              <w:t>项目单位的有效联系方式</w:t>
            </w:r>
          </w:p>
        </w:tc>
        <w:tc>
          <w:tcPr>
            <w:tcW w:w="1257"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4"/>
              </w:rPr>
            </w:pPr>
            <w:r>
              <w:rPr>
                <w:rFonts w:hint="eastAsia" w:ascii="宋体" w:hAnsi="宋体" w:cs="宋体"/>
                <w:sz w:val="24"/>
              </w:rPr>
              <w:t>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109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
                <w:szCs w:val="21"/>
              </w:rPr>
            </w:pPr>
          </w:p>
        </w:tc>
        <w:tc>
          <w:tcPr>
            <w:tcW w:w="125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b/>
                <w:szCs w:val="21"/>
              </w:rPr>
            </w:pPr>
          </w:p>
        </w:tc>
        <w:tc>
          <w:tcPr>
            <w:tcW w:w="1257" w:type="dxa"/>
            <w:tcBorders>
              <w:top w:val="single" w:color="auto" w:sz="4" w:space="0"/>
              <w:left w:val="single" w:color="auto" w:sz="4" w:space="0"/>
              <w:bottom w:val="single" w:color="auto" w:sz="4" w:space="0"/>
              <w:right w:val="single" w:color="auto" w:sz="12" w:space="0"/>
            </w:tcBorders>
          </w:tcPr>
          <w:p>
            <w:pPr>
              <w:spacing w:line="36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109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
                <w:szCs w:val="21"/>
              </w:rPr>
            </w:pPr>
          </w:p>
        </w:tc>
        <w:tc>
          <w:tcPr>
            <w:tcW w:w="125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b/>
                <w:szCs w:val="21"/>
              </w:rPr>
            </w:pPr>
          </w:p>
        </w:tc>
        <w:tc>
          <w:tcPr>
            <w:tcW w:w="1257" w:type="dxa"/>
            <w:tcBorders>
              <w:top w:val="single" w:color="auto" w:sz="4" w:space="0"/>
              <w:left w:val="single" w:color="auto" w:sz="4" w:space="0"/>
              <w:bottom w:val="single" w:color="auto" w:sz="4" w:space="0"/>
              <w:right w:val="single" w:color="auto" w:sz="12" w:space="0"/>
            </w:tcBorders>
          </w:tcPr>
          <w:p>
            <w:pPr>
              <w:spacing w:line="36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3</w:t>
            </w: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p>
        </w:tc>
        <w:tc>
          <w:tcPr>
            <w:tcW w:w="109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
                <w:szCs w:val="21"/>
              </w:rPr>
            </w:pPr>
          </w:p>
        </w:tc>
        <w:tc>
          <w:tcPr>
            <w:tcW w:w="125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b/>
                <w:szCs w:val="21"/>
              </w:rPr>
            </w:pPr>
          </w:p>
        </w:tc>
        <w:tc>
          <w:tcPr>
            <w:tcW w:w="1257" w:type="dxa"/>
            <w:tcBorders>
              <w:top w:val="single" w:color="auto" w:sz="4" w:space="0"/>
              <w:left w:val="single" w:color="auto" w:sz="4" w:space="0"/>
              <w:bottom w:val="single" w:color="auto" w:sz="4" w:space="0"/>
              <w:right w:val="single" w:color="auto" w:sz="12" w:space="0"/>
            </w:tcBorders>
          </w:tcPr>
          <w:p>
            <w:pPr>
              <w:spacing w:line="36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4</w:t>
            </w:r>
          </w:p>
        </w:tc>
        <w:tc>
          <w:tcPr>
            <w:tcW w:w="1264"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w:t>
            </w:r>
          </w:p>
        </w:tc>
        <w:tc>
          <w:tcPr>
            <w:tcW w:w="90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b/>
                <w:szCs w:val="21"/>
              </w:rPr>
            </w:pPr>
          </w:p>
        </w:tc>
        <w:tc>
          <w:tcPr>
            <w:tcW w:w="1078"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b/>
                <w:szCs w:val="21"/>
              </w:rPr>
            </w:pPr>
          </w:p>
        </w:tc>
        <w:tc>
          <w:tcPr>
            <w:tcW w:w="1115"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b/>
                <w:szCs w:val="21"/>
              </w:rPr>
            </w:pPr>
          </w:p>
        </w:tc>
        <w:tc>
          <w:tcPr>
            <w:tcW w:w="1090" w:type="dxa"/>
            <w:tcBorders>
              <w:top w:val="single" w:color="auto" w:sz="4" w:space="0"/>
              <w:left w:val="single" w:color="auto" w:sz="4" w:space="0"/>
              <w:bottom w:val="single" w:color="auto" w:sz="12" w:space="0"/>
              <w:right w:val="single" w:color="auto" w:sz="4" w:space="0"/>
            </w:tcBorders>
          </w:tcPr>
          <w:p>
            <w:pPr>
              <w:spacing w:line="360" w:lineRule="exact"/>
              <w:jc w:val="center"/>
              <w:rPr>
                <w:rFonts w:ascii="宋体" w:hAnsi="宋体" w:cs="宋体"/>
                <w:b/>
                <w:szCs w:val="21"/>
              </w:rPr>
            </w:pPr>
          </w:p>
        </w:tc>
        <w:tc>
          <w:tcPr>
            <w:tcW w:w="1257"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ascii="宋体" w:hAnsi="宋体" w:cs="宋体"/>
                <w:b/>
                <w:szCs w:val="21"/>
              </w:rPr>
            </w:pPr>
          </w:p>
        </w:tc>
        <w:tc>
          <w:tcPr>
            <w:tcW w:w="1257" w:type="dxa"/>
            <w:tcBorders>
              <w:top w:val="single" w:color="auto" w:sz="4" w:space="0"/>
              <w:left w:val="single" w:color="auto" w:sz="4" w:space="0"/>
              <w:bottom w:val="single" w:color="auto" w:sz="12" w:space="0"/>
              <w:right w:val="single" w:color="auto" w:sz="12" w:space="0"/>
            </w:tcBorders>
          </w:tcPr>
          <w:p>
            <w:pPr>
              <w:spacing w:line="360" w:lineRule="exact"/>
              <w:jc w:val="center"/>
              <w:rPr>
                <w:rFonts w:ascii="宋体" w:hAnsi="宋体" w:cs="宋体"/>
                <w:b/>
                <w:szCs w:val="21"/>
              </w:rPr>
            </w:pPr>
          </w:p>
        </w:tc>
      </w:tr>
    </w:tbl>
    <w:p>
      <w:pPr>
        <w:spacing w:line="360" w:lineRule="auto"/>
        <w:ind w:right="187"/>
        <w:rPr>
          <w:rFonts w:hint="eastAsia" w:ascii="宋体" w:hAnsi="宋体" w:cs="宋体"/>
          <w:sz w:val="24"/>
          <w:lang w:eastAsia="zh-CN"/>
        </w:rPr>
      </w:pPr>
      <w:r>
        <w:rPr>
          <w:rFonts w:hint="eastAsia" w:ascii="宋体" w:hAnsi="宋体" w:cs="宋体"/>
          <w:sz w:val="24"/>
          <w:lang w:eastAsia="zh-CN"/>
        </w:rPr>
        <w:t>说明：</w:t>
      </w:r>
      <w:r>
        <w:rPr>
          <w:rFonts w:hint="eastAsia" w:ascii="宋体" w:hAnsi="宋体" w:cs="宋体"/>
          <w:sz w:val="24"/>
          <w:lang w:val="en-US" w:eastAsia="zh-CN"/>
        </w:rPr>
        <w:t>1.</w:t>
      </w:r>
      <w:r>
        <w:rPr>
          <w:rFonts w:hint="eastAsia" w:ascii="宋体" w:hAnsi="宋体" w:cs="宋体"/>
          <w:sz w:val="24"/>
          <w:lang w:eastAsia="zh-CN"/>
        </w:rPr>
        <w:t>以上合同案例须真实有效，相关内容在中标公告中予以公示。</w:t>
      </w:r>
    </w:p>
    <w:p>
      <w:pPr>
        <w:pStyle w:val="29"/>
        <w:ind w:left="0" w:leftChars="0" w:firstLine="720" w:firstLineChars="300"/>
        <w:rPr>
          <w:rFonts w:hint="default"/>
          <w:lang w:val="en-US" w:eastAsia="zh-CN"/>
        </w:rPr>
      </w:pPr>
      <w:r>
        <w:rPr>
          <w:rFonts w:hint="eastAsia" w:ascii="宋体" w:hAnsi="宋体" w:cs="宋体"/>
          <w:sz w:val="24"/>
          <w:lang w:val="en-US" w:eastAsia="zh-CN"/>
        </w:rPr>
        <w:t>2.后附合同证明文件</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投标人：（加盖公章）</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rPr>
      </w:pPr>
      <w:r>
        <w:rPr>
          <w:rFonts w:hint="eastAsia"/>
          <w:sz w:val="24"/>
          <w:szCs w:val="24"/>
        </w:rPr>
        <w:t>投标人法定代表人或其全权代表：（签字或印章）</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cs="宋体"/>
          <w:sz w:val="24"/>
          <w:lang w:eastAsia="zh-CN"/>
        </w:rPr>
      </w:pPr>
      <w:r>
        <w:rPr>
          <w:rFonts w:hint="eastAsia"/>
          <w:sz w:val="24"/>
          <w:szCs w:val="24"/>
        </w:rPr>
        <w:t>日 期： 年 月 日</w:t>
      </w:r>
    </w:p>
    <w:p>
      <w:pPr>
        <w:rPr>
          <w:rFonts w:ascii="宋体" w:hAnsi="宋体" w:cs="宋体"/>
          <w:lang w:eastAsia="zh-CN"/>
        </w:rPr>
      </w:pPr>
      <w:r>
        <w:rPr>
          <w:rFonts w:ascii="宋体" w:hAnsi="宋体" w:cs="宋体"/>
          <w:lang w:eastAsia="zh-CN"/>
        </w:rPr>
        <w:br w:type="page"/>
      </w:r>
    </w:p>
    <w:bookmarkEnd w:id="150"/>
    <w:p>
      <w:pPr>
        <w:pStyle w:val="6"/>
        <w:rPr>
          <w:rFonts w:hint="eastAsia" w:cs="宋体"/>
          <w:b/>
          <w:bCs/>
          <w:lang w:eastAsia="zh-CN"/>
        </w:rPr>
      </w:pPr>
      <w:bookmarkStart w:id="160" w:name="_Toc45562528"/>
      <w:bookmarkStart w:id="161" w:name="_Toc46238293"/>
      <w:bookmarkStart w:id="162" w:name="_Toc683"/>
      <w:bookmarkStart w:id="163" w:name="_Toc46136876"/>
      <w:r>
        <w:rPr>
          <w:rFonts w:hint="eastAsia" w:cs="宋体"/>
          <w:b/>
          <w:bCs/>
          <w:lang w:eastAsia="zh-CN"/>
        </w:rPr>
        <w:t>2</w:t>
      </w:r>
      <w:r>
        <w:rPr>
          <w:rFonts w:hint="eastAsia" w:cs="宋体"/>
          <w:b/>
          <w:bCs/>
          <w:lang w:val="en-US" w:eastAsia="zh-CN"/>
        </w:rPr>
        <w:t>1</w:t>
      </w:r>
      <w:r>
        <w:rPr>
          <w:rFonts w:hint="eastAsia" w:cs="宋体"/>
          <w:b/>
          <w:bCs/>
          <w:lang w:eastAsia="zh-CN"/>
        </w:rPr>
        <w:t>.</w:t>
      </w:r>
      <w:bookmarkEnd w:id="160"/>
      <w:bookmarkEnd w:id="161"/>
      <w:bookmarkEnd w:id="162"/>
      <w:bookmarkEnd w:id="163"/>
      <w:r>
        <w:rPr>
          <w:rFonts w:hint="eastAsia" w:cs="宋体"/>
          <w:b/>
          <w:bCs/>
          <w:lang w:eastAsia="zh-CN"/>
        </w:rPr>
        <w:t>供应商对响应文件的真实性承诺</w:t>
      </w:r>
    </w:p>
    <w:p>
      <w:pPr>
        <w:pStyle w:val="2"/>
        <w:spacing w:line="480" w:lineRule="exact"/>
        <w:rPr>
          <w:rFonts w:hint="eastAsia" w:ascii="宋体" w:hAnsi="宋体" w:cs="宋体"/>
          <w:kern w:val="1"/>
          <w:sz w:val="28"/>
          <w:szCs w:val="28"/>
        </w:rPr>
      </w:pPr>
    </w:p>
    <w:p>
      <w:pPr>
        <w:pStyle w:val="2"/>
        <w:spacing w:line="480" w:lineRule="exact"/>
        <w:rPr>
          <w:rFonts w:hint="eastAsia" w:ascii="宋体" w:hAnsi="宋体" w:cs="宋体"/>
          <w:kern w:val="1"/>
          <w:sz w:val="28"/>
          <w:szCs w:val="28"/>
          <w:u w:val="single"/>
        </w:rPr>
      </w:pPr>
      <w:r>
        <w:rPr>
          <w:rFonts w:hint="eastAsia" w:ascii="宋体" w:hAnsi="宋体" w:cs="宋体"/>
          <w:kern w:val="1"/>
          <w:sz w:val="28"/>
          <w:szCs w:val="28"/>
          <w:u w:val="single"/>
        </w:rPr>
        <w:t>致临沂正旭建设项目管理有限公司：</w:t>
      </w:r>
    </w:p>
    <w:p>
      <w:pPr>
        <w:pStyle w:val="2"/>
        <w:spacing w:line="480" w:lineRule="exact"/>
        <w:rPr>
          <w:rFonts w:hint="eastAsia" w:ascii="宋体" w:hAnsi="宋体" w:cs="宋体"/>
          <w:kern w:val="1"/>
          <w:sz w:val="28"/>
          <w:szCs w:val="28"/>
        </w:rPr>
      </w:pPr>
    </w:p>
    <w:p>
      <w:pPr>
        <w:pStyle w:val="2"/>
        <w:spacing w:line="480" w:lineRule="exact"/>
        <w:ind w:firstLine="560" w:firstLineChars="200"/>
        <w:rPr>
          <w:rFonts w:hint="eastAsia" w:ascii="宋体" w:hAnsi="宋体" w:cs="宋体"/>
          <w:kern w:val="1"/>
          <w:sz w:val="28"/>
          <w:szCs w:val="28"/>
        </w:rPr>
      </w:pPr>
      <w:r>
        <w:rPr>
          <w:rFonts w:hint="eastAsia" w:ascii="宋体" w:hAnsi="宋体" w:cs="宋体"/>
          <w:kern w:val="1"/>
          <w:sz w:val="28"/>
          <w:szCs w:val="28"/>
        </w:rPr>
        <w:t>我单位已认真核实了</w:t>
      </w:r>
      <w:r>
        <w:rPr>
          <w:rFonts w:hint="eastAsia" w:ascii="宋体" w:hAnsi="宋体" w:cs="宋体"/>
          <w:kern w:val="1"/>
          <w:sz w:val="28"/>
          <w:szCs w:val="28"/>
          <w:lang w:eastAsia="zh-CN"/>
        </w:rPr>
        <w:t>响应</w:t>
      </w:r>
      <w:r>
        <w:rPr>
          <w:rFonts w:hint="eastAsia" w:ascii="宋体" w:hAnsi="宋体" w:cs="宋体"/>
          <w:kern w:val="1"/>
          <w:sz w:val="28"/>
          <w:szCs w:val="28"/>
        </w:rPr>
        <w:t>文件的全部资料，所有资料均为真实资料。我单位对</w:t>
      </w:r>
      <w:r>
        <w:rPr>
          <w:rFonts w:hint="eastAsia" w:ascii="宋体" w:hAnsi="宋体" w:cs="宋体"/>
          <w:kern w:val="1"/>
          <w:sz w:val="28"/>
          <w:szCs w:val="28"/>
          <w:lang w:eastAsia="zh-CN"/>
        </w:rPr>
        <w:t>响应</w:t>
      </w:r>
      <w:r>
        <w:rPr>
          <w:rFonts w:hint="eastAsia" w:ascii="宋体" w:hAnsi="宋体" w:cs="宋体"/>
          <w:kern w:val="1"/>
          <w:sz w:val="28"/>
          <w:szCs w:val="28"/>
        </w:rPr>
        <w:t>文件中全部投标资料的真实性负责，如被证实我单位的</w:t>
      </w:r>
      <w:r>
        <w:rPr>
          <w:rFonts w:hint="eastAsia" w:ascii="宋体" w:hAnsi="宋体" w:cs="宋体"/>
          <w:kern w:val="1"/>
          <w:sz w:val="28"/>
          <w:szCs w:val="28"/>
          <w:lang w:eastAsia="zh-CN"/>
        </w:rPr>
        <w:t>响应</w:t>
      </w:r>
      <w:r>
        <w:rPr>
          <w:rFonts w:hint="eastAsia" w:ascii="宋体" w:hAnsi="宋体" w:cs="宋体"/>
          <w:kern w:val="1"/>
          <w:sz w:val="28"/>
          <w:szCs w:val="28"/>
        </w:rPr>
        <w:t>文件中存在虚假资料的，则视为我单位隐瞒真实情况、提供虚假资料，我单位愿意接受主管部门作出的行政处罚。</w:t>
      </w:r>
    </w:p>
    <w:p>
      <w:pPr>
        <w:pStyle w:val="2"/>
        <w:rPr>
          <w:rFonts w:hint="eastAsia" w:ascii="宋体" w:hAnsi="宋体" w:cs="宋体"/>
          <w:kern w:val="1"/>
          <w:sz w:val="24"/>
          <w:szCs w:val="24"/>
        </w:rPr>
      </w:pPr>
    </w:p>
    <w:p>
      <w:pPr>
        <w:pStyle w:val="2"/>
        <w:rPr>
          <w:rFonts w:hint="eastAsia" w:ascii="宋体" w:hAnsi="宋体" w:cs="宋体"/>
          <w:kern w:val="1"/>
          <w:sz w:val="24"/>
          <w:szCs w:val="24"/>
        </w:rPr>
      </w:pPr>
    </w:p>
    <w:p>
      <w:pPr>
        <w:pStyle w:val="2"/>
        <w:rPr>
          <w:rFonts w:hint="eastAsia" w:ascii="宋体" w:hAnsi="宋体" w:cs="宋体"/>
          <w:kern w:val="1"/>
          <w:sz w:val="24"/>
          <w:szCs w:val="24"/>
        </w:rPr>
      </w:pPr>
    </w:p>
    <w:p>
      <w:pPr>
        <w:pStyle w:val="2"/>
        <w:rPr>
          <w:rFonts w:hint="eastAsia" w:ascii="宋体" w:hAnsi="宋体" w:cs="宋体"/>
          <w:kern w:val="1"/>
          <w:sz w:val="24"/>
          <w:szCs w:val="24"/>
        </w:rPr>
      </w:pPr>
    </w:p>
    <w:p>
      <w:pPr>
        <w:pStyle w:val="2"/>
        <w:rPr>
          <w:rFonts w:hint="eastAsia" w:ascii="宋体" w:hAnsi="宋体" w:cs="宋体"/>
          <w:kern w:val="1"/>
          <w:sz w:val="24"/>
          <w:szCs w:val="24"/>
        </w:rPr>
      </w:pPr>
    </w:p>
    <w:p>
      <w:pPr>
        <w:pStyle w:val="2"/>
        <w:rPr>
          <w:rFonts w:hint="eastAsia" w:ascii="宋体" w:hAnsi="宋体" w:cs="宋体"/>
          <w:kern w:val="1"/>
          <w:sz w:val="24"/>
          <w:szCs w:val="24"/>
        </w:rPr>
      </w:pPr>
    </w:p>
    <w:p>
      <w:pPr>
        <w:pStyle w:val="2"/>
        <w:rPr>
          <w:rFonts w:hint="eastAsia" w:ascii="宋体" w:hAnsi="宋体" w:cs="宋体"/>
          <w:kern w:val="1"/>
          <w:sz w:val="24"/>
          <w:szCs w:val="24"/>
        </w:rPr>
      </w:pPr>
    </w:p>
    <w:p>
      <w:pPr>
        <w:spacing w:line="600" w:lineRule="exact"/>
        <w:ind w:left="251" w:leftChars="114" w:firstLine="120" w:firstLineChars="50"/>
        <w:jc w:val="left"/>
        <w:rPr>
          <w:rFonts w:hint="eastAsia" w:ascii="宋体" w:hAnsi="宋体" w:cs="宋体"/>
          <w:color w:val="000000"/>
          <w:sz w:val="24"/>
        </w:rPr>
      </w:pPr>
      <w:r>
        <w:rPr>
          <w:rFonts w:hint="eastAsia" w:ascii="宋体" w:hAnsi="宋体" w:cs="宋体"/>
          <w:color w:val="000000"/>
          <w:sz w:val="24"/>
        </w:rPr>
        <w:t>承诺单位：（公章）</w:t>
      </w:r>
      <w:r>
        <w:rPr>
          <w:rFonts w:hint="eastAsia" w:ascii="宋体" w:hAnsi="宋体" w:cs="宋体"/>
          <w:color w:val="000000"/>
          <w:sz w:val="24"/>
        </w:rPr>
        <w:br w:type="textWrapping"/>
      </w:r>
      <w:r>
        <w:rPr>
          <w:rFonts w:hint="eastAsia" w:ascii="宋体" w:hAnsi="宋体" w:cs="宋体"/>
          <w:color w:val="000000"/>
          <w:sz w:val="24"/>
        </w:rPr>
        <w:t>法定代表人或委托代理人</w:t>
      </w:r>
      <w:r>
        <w:rPr>
          <w:rFonts w:hint="eastAsia" w:ascii="宋体" w:hAnsi="宋体" w:cs="宋体"/>
          <w:color w:val="000000"/>
          <w:sz w:val="24"/>
          <w:lang w:eastAsia="zh-CN"/>
        </w:rPr>
        <w:t>盖章或签字</w:t>
      </w:r>
      <w:r>
        <w:rPr>
          <w:rFonts w:hint="eastAsia" w:ascii="宋体" w:hAnsi="宋体" w:cs="宋体"/>
          <w:color w:val="000000"/>
          <w:sz w:val="24"/>
        </w:rPr>
        <w:t>：</w:t>
      </w:r>
      <w:r>
        <w:rPr>
          <w:rFonts w:hint="eastAsia" w:ascii="宋体" w:hAnsi="宋体" w:cs="宋体"/>
          <w:color w:val="000000"/>
          <w:sz w:val="24"/>
        </w:rPr>
        <w:br w:type="textWrapping"/>
      </w:r>
      <w:r>
        <w:rPr>
          <w:rFonts w:hint="eastAsia" w:ascii="宋体" w:hAnsi="宋体" w:cs="宋体"/>
          <w:color w:val="000000"/>
          <w:sz w:val="24"/>
        </w:rPr>
        <w:t xml:space="preserve"> 年</w:t>
      </w:r>
      <w:r>
        <w:rPr>
          <w:rFonts w:hint="eastAsia" w:ascii="宋体" w:hAnsi="宋体" w:cs="宋体"/>
          <w:color w:val="000000"/>
          <w:sz w:val="24"/>
          <w:lang w:val="en-US" w:eastAsia="zh-CN"/>
        </w:rPr>
        <w:t xml:space="preserve">   </w:t>
      </w:r>
      <w:r>
        <w:rPr>
          <w:rFonts w:hint="eastAsia" w:ascii="宋体" w:hAnsi="宋体" w:cs="宋体"/>
          <w:color w:val="000000"/>
          <w:sz w:val="24"/>
        </w:rPr>
        <w:t>月</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日</w:t>
      </w:r>
    </w:p>
    <w:p>
      <w:pPr>
        <w:spacing w:line="320" w:lineRule="exact"/>
        <w:rPr>
          <w:rFonts w:ascii="宋体" w:hAnsi="宋体" w:cs="宋体"/>
          <w:sz w:val="24"/>
          <w:lang w:eastAsia="zh-CN"/>
        </w:rPr>
      </w:pPr>
    </w:p>
    <w:p>
      <w:pPr>
        <w:rPr>
          <w:rFonts w:ascii="宋体" w:hAnsi="宋体" w:cs="宋体"/>
          <w:i/>
          <w:iCs/>
          <w:lang w:eastAsia="zh-CN"/>
        </w:rPr>
      </w:pPr>
      <w:r>
        <w:rPr>
          <w:rFonts w:ascii="宋体" w:hAnsi="宋体" w:cs="宋体"/>
          <w:i/>
          <w:iCs/>
          <w:lang w:eastAsia="zh-CN"/>
        </w:rPr>
        <w:br w:type="page"/>
      </w:r>
    </w:p>
    <w:p>
      <w:pPr>
        <w:pStyle w:val="6"/>
        <w:numPr>
          <w:ilvl w:val="0"/>
          <w:numId w:val="7"/>
        </w:numPr>
        <w:rPr>
          <w:rFonts w:hint="eastAsia" w:ascii="宋体" w:hAnsi="宋体" w:eastAsia="宋体" w:cs="宋体"/>
          <w:b/>
          <w:bCs/>
          <w:lang w:eastAsia="zh-CN"/>
        </w:rPr>
      </w:pPr>
      <w:r>
        <w:rPr>
          <w:rFonts w:hint="eastAsia" w:ascii="宋体" w:hAnsi="宋体" w:eastAsia="宋体" w:cs="宋体"/>
          <w:b/>
          <w:bCs/>
          <w:lang w:eastAsia="zh-CN"/>
        </w:rPr>
        <w:t>临沂市政府采购供应商反商业贿赂承诺书</w:t>
      </w:r>
    </w:p>
    <w:p>
      <w:pPr>
        <w:numPr>
          <w:ilvl w:val="0"/>
          <w:numId w:val="0"/>
        </w:numPr>
      </w:pP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为贯彻落实中央和省市关于治理商业贿赂的有关精神，进一步净化政府采购市场、规范政府采购行为，共同营造和维护竞争有序的政府采购市场，我们作为参加市政府采购的供应商就反商业贿赂向社会郑重承诺：</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一、认真学习并遵守国家相关的法律、法规及社会公德，树立质量为本的理念，诚实守信，依法参与政府采购活动，不搞不正当交易行为。</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二、在政府采购活动中，自觉遵守政府采购的法律法规的规定，依法依规进行政府采购项目招投标及公平交易，建立投标诚信、价格诚信、合同诚信、履约诚信、服务诚信等诚信体系。</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三、不弄虚作假，骗取政府采购供应商资格；不提供虚假资质文件谋取中标或成交； 不出错、转让、出卖资质（资格）证书；不允许他人以本企业名义承接或承揽政府采购业务。</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四、不采取“围标、陪标”等商业欺诈手段获得政府采购订单；不采取不正当手段诋毁、排挤其他供应商参与竞争。</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五、在政府采购活动中，不与采购人、采购代理机构及其工作人员和其他供应商串通， 损害国家利益、社会公共利益和其他相关人的合法权益。</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七、按规定与采购人签订政府采购合同，并严格按合同履约，为采购人提供符合质量标准规定的货物、工程和服务，不销售冒牌、走私货物；不擅自变更或终止、转让、转包政府采购合同；主动配合政府采购项目的验收工作。</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八、自觉接受政府采购监管部门的监督管理，积极配合检查和调查，并如实反映情况和提供材料。</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我们将严格遵守上述承诺事项，自愿接受主管（监管）部门和社会各方面的监督，如有违反的，自愿接受执法执纪机关和监督管理部门的处理。</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承诺单位：（公章）</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法定代表人或委托代理人：</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年</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月</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日</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480" w:firstLineChars="200"/>
        <w:textAlignment w:val="auto"/>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br w:type="page"/>
      </w:r>
    </w:p>
    <w:p>
      <w:pPr>
        <w:pStyle w:val="4"/>
        <w:tabs>
          <w:tab w:val="left" w:pos="0"/>
          <w:tab w:val="left" w:pos="2850"/>
        </w:tabs>
        <w:spacing w:line="240" w:lineRule="atLeast"/>
        <w:ind w:left="1560"/>
        <w:rPr>
          <w:rFonts w:cs="宋体"/>
          <w:lang w:eastAsia="zh-CN"/>
        </w:rPr>
      </w:pPr>
      <w:bookmarkStart w:id="164" w:name="_Toc29512"/>
      <w:r>
        <w:rPr>
          <w:rFonts w:hint="eastAsia" w:cs="宋体"/>
          <w:lang w:eastAsia="zh-CN"/>
        </w:rPr>
        <w:t>第7章  政府采购合同格式</w:t>
      </w:r>
      <w:bookmarkEnd w:id="164"/>
    </w:p>
    <w:p>
      <w:pPr>
        <w:spacing w:line="240" w:lineRule="atLeast"/>
        <w:ind w:left="1105" w:leftChars="257" w:hanging="540"/>
        <w:jc w:val="center"/>
        <w:rPr>
          <w:rFonts w:ascii="宋体" w:hAnsi="宋体" w:cs="宋体"/>
          <w:szCs w:val="21"/>
          <w:lang w:eastAsia="zh-CN"/>
        </w:rPr>
      </w:pPr>
    </w:p>
    <w:p>
      <w:pPr>
        <w:spacing w:line="240" w:lineRule="atLeast"/>
        <w:ind w:left="1105" w:leftChars="257" w:hanging="540"/>
        <w:jc w:val="center"/>
        <w:rPr>
          <w:rFonts w:ascii="宋体" w:hAnsi="宋体" w:cs="宋体"/>
          <w:sz w:val="24"/>
          <w:lang w:eastAsia="zh-CN"/>
        </w:rPr>
      </w:pPr>
      <w:r>
        <w:rPr>
          <w:rFonts w:hint="eastAsia" w:ascii="宋体" w:hAnsi="宋体" w:cs="宋体"/>
          <w:sz w:val="24"/>
          <w:lang w:eastAsia="zh-CN"/>
        </w:rPr>
        <w:t>（此合同仅供参考。以最终采购人与成交供应商签定的合同条款为准进行公示，最终签定合同的主要条款不能与竞争性磋商（谈判）文件冲突）</w:t>
      </w:r>
    </w:p>
    <w:p>
      <w:pPr>
        <w:jc w:val="center"/>
        <w:rPr>
          <w:rFonts w:ascii="宋体" w:hAnsi="宋体" w:cs="宋体"/>
          <w:sz w:val="24"/>
          <w:lang w:eastAsia="zh-CN"/>
        </w:rPr>
      </w:pPr>
    </w:p>
    <w:p>
      <w:pPr>
        <w:spacing w:line="240" w:lineRule="atLeast"/>
        <w:ind w:left="1105" w:leftChars="257" w:hanging="540"/>
        <w:jc w:val="center"/>
        <w:rPr>
          <w:rFonts w:ascii="宋体" w:hAnsi="宋体" w:cs="宋体"/>
          <w:sz w:val="24"/>
          <w:lang w:eastAsia="zh-CN"/>
        </w:rPr>
      </w:pPr>
      <w:r>
        <w:rPr>
          <w:rFonts w:hint="eastAsia" w:ascii="宋体" w:hAnsi="宋体" w:cs="宋体"/>
          <w:sz w:val="24"/>
          <w:lang w:eastAsia="zh-CN"/>
        </w:rPr>
        <w:t>政府采购合同</w:t>
      </w:r>
    </w:p>
    <w:p>
      <w:pPr>
        <w:spacing w:line="240" w:lineRule="atLeast"/>
        <w:ind w:left="1105" w:leftChars="257" w:hanging="540"/>
        <w:jc w:val="center"/>
        <w:rPr>
          <w:rFonts w:ascii="宋体" w:hAnsi="宋体" w:cs="宋体"/>
          <w:sz w:val="24"/>
          <w:lang w:eastAsia="zh-CN"/>
        </w:rPr>
      </w:pPr>
    </w:p>
    <w:p>
      <w:pPr>
        <w:spacing w:line="240" w:lineRule="atLeast"/>
        <w:ind w:left="1105" w:leftChars="257" w:hanging="540"/>
        <w:jc w:val="center"/>
        <w:rPr>
          <w:rFonts w:ascii="宋体" w:hAnsi="宋体" w:cs="宋体"/>
          <w:sz w:val="24"/>
          <w:lang w:eastAsia="zh-CN"/>
        </w:rPr>
      </w:pPr>
    </w:p>
    <w:p>
      <w:pPr>
        <w:spacing w:line="240" w:lineRule="atLeast"/>
        <w:ind w:left="1105" w:leftChars="257" w:hanging="540"/>
        <w:jc w:val="center"/>
        <w:rPr>
          <w:rFonts w:ascii="宋体" w:hAnsi="宋体" w:cs="宋体"/>
          <w:sz w:val="24"/>
          <w:lang w:eastAsia="zh-CN"/>
        </w:rPr>
      </w:pPr>
    </w:p>
    <w:p>
      <w:pPr>
        <w:spacing w:line="240" w:lineRule="atLeast"/>
        <w:ind w:left="1105" w:leftChars="257" w:hanging="540"/>
        <w:jc w:val="center"/>
        <w:rPr>
          <w:rFonts w:ascii="宋体" w:hAnsi="宋体" w:cs="宋体"/>
          <w:sz w:val="24"/>
          <w:lang w:eastAsia="zh-CN"/>
        </w:rPr>
      </w:pPr>
    </w:p>
    <w:p>
      <w:pPr>
        <w:spacing w:line="240" w:lineRule="atLeast"/>
        <w:ind w:left="1105" w:leftChars="257" w:hanging="540"/>
        <w:jc w:val="center"/>
        <w:rPr>
          <w:rFonts w:ascii="宋体" w:hAnsi="宋体" w:cs="宋体"/>
          <w:sz w:val="24"/>
          <w:lang w:eastAsia="zh-CN"/>
        </w:rPr>
      </w:pPr>
    </w:p>
    <w:p>
      <w:pPr>
        <w:spacing w:line="240" w:lineRule="atLeast"/>
        <w:ind w:left="1129" w:leftChars="513" w:firstLine="2400" w:firstLineChars="1000"/>
        <w:rPr>
          <w:rFonts w:ascii="宋体" w:hAnsi="宋体" w:cs="宋体"/>
          <w:sz w:val="24"/>
          <w:lang w:eastAsia="zh-CN"/>
        </w:rPr>
      </w:pPr>
      <w:r>
        <w:rPr>
          <w:rFonts w:hint="eastAsia" w:ascii="宋体" w:hAnsi="宋体" w:cs="宋体"/>
          <w:sz w:val="24"/>
          <w:lang w:eastAsia="zh-CN"/>
        </w:rPr>
        <w:t>项目名称:</w:t>
      </w:r>
    </w:p>
    <w:p>
      <w:pPr>
        <w:spacing w:line="240" w:lineRule="atLeast"/>
        <w:ind w:left="1129" w:leftChars="513" w:firstLine="2400" w:firstLineChars="1000"/>
        <w:rPr>
          <w:rFonts w:ascii="宋体" w:hAnsi="宋体" w:cs="宋体"/>
          <w:sz w:val="24"/>
          <w:lang w:eastAsia="zh-CN"/>
        </w:rPr>
      </w:pPr>
      <w:r>
        <w:rPr>
          <w:rFonts w:hint="eastAsia" w:ascii="宋体" w:hAnsi="宋体" w:cs="宋体"/>
          <w:sz w:val="24"/>
          <w:lang w:eastAsia="zh-CN"/>
        </w:rPr>
        <w:t>合同编号:</w:t>
      </w:r>
    </w:p>
    <w:p>
      <w:pPr>
        <w:spacing w:line="240" w:lineRule="atLeast"/>
        <w:ind w:left="1129" w:leftChars="513" w:firstLine="2400" w:firstLineChars="1000"/>
        <w:rPr>
          <w:rFonts w:ascii="宋体" w:hAnsi="宋体" w:cs="宋体"/>
          <w:sz w:val="24"/>
          <w:lang w:eastAsia="zh-CN"/>
        </w:rPr>
      </w:pPr>
      <w:r>
        <w:rPr>
          <w:rFonts w:hint="eastAsia" w:ascii="宋体" w:hAnsi="宋体" w:cs="宋体"/>
          <w:sz w:val="24"/>
          <w:lang w:eastAsia="zh-CN"/>
        </w:rPr>
        <w:t>采购编号:</w:t>
      </w:r>
    </w:p>
    <w:p>
      <w:pPr>
        <w:spacing w:line="240" w:lineRule="atLeast"/>
        <w:ind w:left="1105" w:leftChars="257" w:hanging="540"/>
        <w:jc w:val="center"/>
        <w:rPr>
          <w:rFonts w:ascii="宋体" w:hAnsi="宋体" w:cs="宋体"/>
          <w:sz w:val="24"/>
          <w:lang w:eastAsia="zh-CN"/>
        </w:rPr>
      </w:pPr>
    </w:p>
    <w:p>
      <w:pPr>
        <w:spacing w:line="240" w:lineRule="atLeast"/>
        <w:ind w:left="1105" w:leftChars="257" w:hanging="540"/>
        <w:jc w:val="center"/>
        <w:rPr>
          <w:rFonts w:ascii="宋体" w:hAnsi="宋体" w:cs="宋体"/>
          <w:sz w:val="24"/>
          <w:lang w:eastAsia="zh-CN"/>
        </w:rPr>
      </w:pPr>
    </w:p>
    <w:p>
      <w:pPr>
        <w:spacing w:line="240" w:lineRule="atLeast"/>
        <w:ind w:left="1105" w:leftChars="257" w:hanging="540"/>
        <w:jc w:val="center"/>
        <w:rPr>
          <w:rFonts w:ascii="宋体" w:hAnsi="宋体" w:cs="宋体"/>
          <w:sz w:val="24"/>
          <w:lang w:eastAsia="zh-CN"/>
        </w:rPr>
      </w:pPr>
    </w:p>
    <w:p>
      <w:pPr>
        <w:spacing w:line="240" w:lineRule="atLeast"/>
        <w:ind w:left="1105" w:leftChars="257" w:hanging="540"/>
        <w:jc w:val="center"/>
        <w:rPr>
          <w:rFonts w:ascii="宋体" w:hAnsi="宋体" w:cs="宋体"/>
          <w:sz w:val="24"/>
          <w:lang w:eastAsia="zh-CN"/>
        </w:rPr>
      </w:pPr>
    </w:p>
    <w:p>
      <w:pPr>
        <w:spacing w:line="240" w:lineRule="atLeast"/>
        <w:ind w:left="1105" w:leftChars="257" w:hanging="540"/>
        <w:jc w:val="center"/>
        <w:rPr>
          <w:rFonts w:ascii="宋体" w:hAnsi="宋体" w:cs="宋体"/>
          <w:sz w:val="24"/>
          <w:lang w:eastAsia="zh-CN"/>
        </w:rPr>
      </w:pPr>
    </w:p>
    <w:p>
      <w:pPr>
        <w:spacing w:line="240" w:lineRule="atLeast"/>
        <w:ind w:left="1105" w:leftChars="257" w:hanging="540"/>
        <w:jc w:val="center"/>
        <w:rPr>
          <w:rFonts w:ascii="宋体" w:hAnsi="宋体" w:cs="宋体"/>
          <w:sz w:val="24"/>
          <w:lang w:eastAsia="zh-CN"/>
        </w:rPr>
      </w:pPr>
    </w:p>
    <w:p>
      <w:pPr>
        <w:spacing w:line="240" w:lineRule="atLeast"/>
        <w:ind w:left="1105" w:leftChars="257" w:hanging="540"/>
        <w:jc w:val="center"/>
        <w:rPr>
          <w:rFonts w:ascii="宋体" w:hAnsi="宋体" w:cs="宋体"/>
          <w:sz w:val="24"/>
          <w:lang w:eastAsia="zh-CN"/>
        </w:rPr>
      </w:pPr>
    </w:p>
    <w:p>
      <w:pPr>
        <w:spacing w:line="240" w:lineRule="atLeast"/>
        <w:rPr>
          <w:rFonts w:hint="eastAsia" w:ascii="宋体" w:hAnsi="宋体" w:cs="宋体"/>
          <w:sz w:val="24"/>
          <w:lang w:eastAsia="zh-CN"/>
        </w:rPr>
      </w:pPr>
    </w:p>
    <w:p>
      <w:pPr>
        <w:spacing w:line="240" w:lineRule="atLeast"/>
        <w:rPr>
          <w:rFonts w:hint="eastAsia" w:ascii="宋体" w:hAnsi="宋体" w:cs="宋体"/>
          <w:sz w:val="24"/>
          <w:lang w:eastAsia="zh-CN"/>
        </w:rPr>
      </w:pPr>
    </w:p>
    <w:p>
      <w:pPr>
        <w:spacing w:line="240" w:lineRule="atLeast"/>
        <w:rPr>
          <w:rFonts w:hint="eastAsia" w:ascii="宋体" w:hAnsi="宋体" w:cs="宋体"/>
          <w:sz w:val="24"/>
          <w:lang w:eastAsia="zh-CN"/>
        </w:rPr>
      </w:pPr>
    </w:p>
    <w:p>
      <w:pPr>
        <w:spacing w:line="240" w:lineRule="atLeast"/>
        <w:rPr>
          <w:rFonts w:hint="eastAsia" w:ascii="宋体" w:hAnsi="宋体" w:cs="宋体"/>
          <w:sz w:val="24"/>
          <w:lang w:eastAsia="zh-CN"/>
        </w:rPr>
      </w:pPr>
    </w:p>
    <w:p>
      <w:pPr>
        <w:spacing w:line="240" w:lineRule="atLeast"/>
        <w:rPr>
          <w:rFonts w:hint="eastAsia" w:ascii="宋体" w:hAnsi="宋体" w:cs="宋体"/>
          <w:sz w:val="24"/>
          <w:lang w:eastAsia="zh-CN"/>
        </w:rPr>
      </w:pPr>
    </w:p>
    <w:p>
      <w:pPr>
        <w:spacing w:line="240" w:lineRule="atLeast"/>
        <w:rPr>
          <w:rFonts w:hint="eastAsia" w:ascii="宋体" w:hAnsi="宋体" w:cs="宋体"/>
          <w:sz w:val="24"/>
          <w:lang w:eastAsia="zh-CN"/>
        </w:rPr>
      </w:pPr>
    </w:p>
    <w:p>
      <w:pPr>
        <w:spacing w:line="240" w:lineRule="atLeast"/>
        <w:rPr>
          <w:rFonts w:hint="eastAsia" w:ascii="宋体" w:hAnsi="宋体" w:cs="宋体"/>
          <w:sz w:val="24"/>
          <w:lang w:eastAsia="zh-CN"/>
        </w:rPr>
      </w:pPr>
    </w:p>
    <w:p>
      <w:pPr>
        <w:spacing w:line="240" w:lineRule="atLeast"/>
        <w:rPr>
          <w:rFonts w:hint="eastAsia" w:ascii="宋体" w:hAnsi="宋体" w:cs="宋体"/>
          <w:sz w:val="24"/>
          <w:lang w:eastAsia="zh-CN"/>
        </w:rPr>
      </w:pPr>
    </w:p>
    <w:p>
      <w:pPr>
        <w:spacing w:line="240" w:lineRule="atLeast"/>
        <w:rPr>
          <w:rFonts w:hint="eastAsia" w:ascii="宋体" w:hAnsi="宋体" w:cs="宋体"/>
          <w:sz w:val="24"/>
          <w:lang w:eastAsia="zh-CN"/>
        </w:rPr>
      </w:pPr>
    </w:p>
    <w:p>
      <w:pPr>
        <w:spacing w:line="240" w:lineRule="atLeast"/>
        <w:rPr>
          <w:rFonts w:hint="eastAsia" w:ascii="宋体" w:hAnsi="宋体" w:cs="宋体"/>
          <w:sz w:val="24"/>
          <w:lang w:eastAsia="zh-CN"/>
        </w:rPr>
      </w:pPr>
    </w:p>
    <w:p>
      <w:pPr>
        <w:spacing w:line="240" w:lineRule="atLeast"/>
        <w:rPr>
          <w:rFonts w:ascii="宋体" w:hAnsi="宋体" w:cs="宋体"/>
          <w:sz w:val="24"/>
          <w:lang w:eastAsia="zh-CN"/>
        </w:rPr>
      </w:pPr>
      <w:r>
        <w:rPr>
          <w:rFonts w:hint="eastAsia" w:ascii="宋体" w:hAnsi="宋体" w:cs="宋体"/>
          <w:sz w:val="24"/>
          <w:lang w:eastAsia="zh-CN"/>
        </w:rPr>
        <w:t xml:space="preserve">甲    方:                    </w:t>
      </w:r>
    </w:p>
    <w:p>
      <w:pPr>
        <w:spacing w:line="240" w:lineRule="atLeast"/>
        <w:rPr>
          <w:rFonts w:hint="eastAsia" w:ascii="宋体" w:hAnsi="宋体" w:cs="宋体"/>
          <w:sz w:val="24"/>
          <w:lang w:eastAsia="zh-CN"/>
        </w:rPr>
      </w:pPr>
    </w:p>
    <w:p>
      <w:pPr>
        <w:spacing w:line="240" w:lineRule="atLeast"/>
        <w:rPr>
          <w:rFonts w:ascii="宋体" w:hAnsi="宋体" w:cs="宋体"/>
          <w:szCs w:val="21"/>
          <w:lang w:eastAsia="zh-CN"/>
        </w:rPr>
      </w:pPr>
      <w:r>
        <w:rPr>
          <w:rFonts w:hint="eastAsia" w:ascii="宋体" w:hAnsi="宋体" w:cs="宋体"/>
          <w:sz w:val="24"/>
          <w:lang w:eastAsia="zh-CN"/>
        </w:rPr>
        <w:t xml:space="preserve">乙    方: </w:t>
      </w:r>
    </w:p>
    <w:p>
      <w:pPr>
        <w:spacing w:line="240" w:lineRule="atLeast"/>
        <w:ind w:left="1105" w:leftChars="257" w:hanging="540"/>
        <w:jc w:val="center"/>
        <w:rPr>
          <w:rFonts w:ascii="宋体" w:hAnsi="宋体" w:cs="宋体"/>
          <w:szCs w:val="21"/>
          <w:lang w:eastAsia="zh-CN"/>
        </w:rPr>
      </w:pPr>
    </w:p>
    <w:p>
      <w:pPr>
        <w:spacing w:line="240" w:lineRule="atLeast"/>
        <w:ind w:left="1105" w:leftChars="257" w:hanging="540"/>
        <w:jc w:val="center"/>
        <w:rPr>
          <w:rFonts w:ascii="宋体" w:hAnsi="宋体" w:cs="宋体"/>
          <w:szCs w:val="21"/>
          <w:lang w:eastAsia="zh-CN"/>
        </w:rPr>
      </w:pPr>
    </w:p>
    <w:p>
      <w:pPr>
        <w:spacing w:line="240" w:lineRule="atLeast"/>
        <w:ind w:left="1105" w:leftChars="257" w:hanging="540"/>
        <w:jc w:val="center"/>
        <w:rPr>
          <w:rFonts w:ascii="宋体" w:hAnsi="宋体" w:cs="宋体"/>
          <w:szCs w:val="21"/>
          <w:lang w:eastAsia="zh-CN"/>
        </w:rPr>
      </w:pPr>
    </w:p>
    <w:p>
      <w:pPr>
        <w:spacing w:line="240" w:lineRule="atLeast"/>
        <w:ind w:left="1105" w:leftChars="257" w:hanging="540"/>
        <w:jc w:val="center"/>
        <w:rPr>
          <w:rFonts w:ascii="宋体" w:hAnsi="宋体" w:cs="宋体"/>
          <w:szCs w:val="21"/>
          <w:lang w:eastAsia="zh-CN"/>
        </w:rPr>
      </w:pPr>
    </w:p>
    <w:p>
      <w:pPr>
        <w:spacing w:line="240" w:lineRule="atLeast"/>
        <w:ind w:left="1105" w:leftChars="257" w:hanging="540"/>
        <w:jc w:val="center"/>
        <w:rPr>
          <w:rFonts w:ascii="宋体" w:hAnsi="宋体" w:cs="宋体"/>
          <w:szCs w:val="21"/>
          <w:lang w:eastAsia="zh-CN"/>
        </w:rPr>
      </w:pPr>
    </w:p>
    <w:p>
      <w:pPr>
        <w:spacing w:line="240" w:lineRule="atLeast"/>
        <w:ind w:left="1105" w:leftChars="257" w:hanging="540"/>
        <w:jc w:val="center"/>
        <w:rPr>
          <w:rFonts w:ascii="宋体" w:hAnsi="宋体" w:cs="宋体"/>
          <w:szCs w:val="21"/>
          <w:lang w:eastAsia="zh-CN"/>
        </w:rPr>
      </w:pPr>
    </w:p>
    <w:p>
      <w:pPr>
        <w:spacing w:line="240" w:lineRule="atLeast"/>
        <w:ind w:left="1105" w:leftChars="257" w:hanging="540"/>
        <w:jc w:val="center"/>
        <w:rPr>
          <w:rFonts w:ascii="宋体" w:hAnsi="宋体" w:cs="宋体"/>
          <w:szCs w:val="21"/>
          <w:lang w:eastAsia="zh-CN"/>
        </w:rPr>
      </w:pPr>
    </w:p>
    <w:p>
      <w:pPr>
        <w:spacing w:line="240" w:lineRule="atLeast"/>
        <w:ind w:left="1105" w:leftChars="257" w:hanging="540"/>
        <w:jc w:val="center"/>
        <w:rPr>
          <w:rFonts w:ascii="宋体" w:hAnsi="宋体" w:cs="宋体"/>
          <w:szCs w:val="21"/>
          <w:lang w:eastAsia="zh-CN"/>
        </w:rPr>
      </w:pPr>
    </w:p>
    <w:p>
      <w:pPr>
        <w:spacing w:line="240" w:lineRule="atLeast"/>
        <w:ind w:left="1105" w:leftChars="257" w:hanging="540"/>
        <w:jc w:val="center"/>
        <w:rPr>
          <w:rFonts w:ascii="宋体" w:hAnsi="宋体" w:cs="宋体"/>
          <w:szCs w:val="21"/>
          <w:lang w:eastAsia="zh-CN"/>
        </w:rPr>
      </w:pPr>
    </w:p>
    <w:p>
      <w:pPr>
        <w:jc w:val="both"/>
        <w:rPr>
          <w:rFonts w:ascii="宋体" w:hAnsi="宋体" w:cs="宋体"/>
          <w:sz w:val="24"/>
          <w:lang w:eastAsia="zh-CN"/>
        </w:rPr>
      </w:pPr>
    </w:p>
    <w:p>
      <w:pPr>
        <w:spacing w:line="360" w:lineRule="auto"/>
        <w:jc w:val="center"/>
        <w:rPr>
          <w:rFonts w:ascii="宋体" w:hAnsi="宋体" w:cs="宋体"/>
          <w:sz w:val="36"/>
          <w:szCs w:val="36"/>
          <w:lang w:eastAsia="zh-CN"/>
        </w:rPr>
      </w:pPr>
      <w:r>
        <w:rPr>
          <w:rFonts w:hint="eastAsia" w:ascii="宋体" w:hAnsi="宋体" w:cs="宋体"/>
          <w:sz w:val="36"/>
          <w:szCs w:val="36"/>
          <w:lang w:eastAsia="zh-CN"/>
        </w:rPr>
        <w:t>合  同</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ascii="宋体" w:hAnsi="宋体" w:cs="宋体"/>
          <w:lang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（甲方）所需(项目名称)经</w:t>
      </w:r>
      <w:r>
        <w:rPr>
          <w:rFonts w:hint="eastAsia" w:ascii="宋体" w:hAnsi="宋体" w:cs="宋体"/>
          <w:sz w:val="24"/>
          <w:u w:val="single"/>
          <w:lang w:eastAsia="zh-CN"/>
        </w:rPr>
        <w:t xml:space="preserve">        （采购代理机构）</w:t>
      </w:r>
      <w:r>
        <w:rPr>
          <w:rFonts w:hint="eastAsia" w:ascii="宋体" w:hAnsi="宋体" w:cs="宋体"/>
          <w:sz w:val="24"/>
          <w:lang w:eastAsia="zh-CN"/>
        </w:rPr>
        <w:t>以（项目编号）磋商（谈判）文件在国内以竞争性磋商（谈判）方式进行</w:t>
      </w:r>
      <w:r>
        <w:rPr>
          <w:rFonts w:hint="eastAsia" w:ascii="宋体" w:hAnsi="宋体" w:cs="宋体"/>
          <w:b w:val="0"/>
          <w:bCs w:val="0"/>
          <w:sz w:val="24"/>
          <w:lang w:eastAsia="zh-CN"/>
        </w:rPr>
        <w:t>采购。经磋商小组(或甲方)确定（乙方）为包成交供应商。甲、乙双方根据《中</w:t>
      </w:r>
      <w:r>
        <w:rPr>
          <w:rFonts w:hint="eastAsia" w:ascii="宋体" w:hAnsi="宋体" w:cs="宋体"/>
          <w:sz w:val="24"/>
          <w:lang w:eastAsia="zh-CN"/>
        </w:rPr>
        <w:t>华人民共和国政府采购法》、《中华人民共和国合同法》等相关法律以及本项目磋商（谈判）（谈判）文件的规定，经平等协商达成合同如下：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一、合同文件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本合同所附下列文件是构成本合同不可分割的部分：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（一）本项目磋商（谈判）文件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（二）成交供应商响应文件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（三）合同格式、合同条款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（四）成交供应商在磋商（谈判）过程中做出的有关澄清、说明或者补正文件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（五）成交通知书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（六）本合同附件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二、合同的范围和条件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本合同的范围和条件应与上述合同文件的规定相一致。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三、货物内容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本合同所提供的货物，详见合同清单。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见附件一：同响应文件中分项报价表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四、合同金额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合同金额为人民币 元，大写：。（分项价格详见最终报价后的修正的分项报价表、合同服务或货物清单）。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乙方开户名称：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开户银行：                  银行账号：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五、付款途径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
          <w:bCs/>
          <w:sz w:val="24"/>
          <w:lang w:eastAsia="zh-CN"/>
        </w:rPr>
      </w:pPr>
      <w:r>
        <w:rPr>
          <w:rFonts w:hint="eastAsia" w:ascii="宋体" w:hAnsi="宋体" w:cs="宋体"/>
          <w:b/>
          <w:bCs/>
          <w:sz w:val="24"/>
          <w:lang w:eastAsia="zh-CN"/>
        </w:rPr>
        <w:t xml:space="preserve">□甲方根据乙方在本合同中所提供银行开户信息转账支付。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sz w:val="24"/>
          <w:lang w:eastAsia="zh-CN"/>
        </w:rPr>
      </w:pPr>
      <w:r>
        <w:rPr>
          <w:rFonts w:hint="eastAsia" w:ascii="宋体" w:hAnsi="宋体" w:cs="宋体"/>
          <w:sz w:val="24"/>
          <w:lang w:eastAsia="zh-CN"/>
        </w:rPr>
        <w:t>六、付款方式</w:t>
      </w:r>
    </w:p>
    <w:p>
      <w:pPr>
        <w:pStyle w:val="22"/>
        <w:keepNext w:val="0"/>
        <w:keepLines w:val="0"/>
        <w:pageBreakBefore w:val="0"/>
        <w:kinsoku/>
        <w:wordWrap/>
        <w:overflowPunct/>
        <w:topLinePunct w:val="0"/>
        <w:autoSpaceDE/>
        <w:autoSpaceDN/>
        <w:bidi w:val="0"/>
        <w:adjustRightInd/>
        <w:snapToGrid/>
        <w:ind w:left="440" w:firstLine="448" w:firstLineChars="200"/>
        <w:textAlignment w:val="auto"/>
        <w:rPr>
          <w:rFonts w:hint="eastAsia" w:eastAsiaTheme="minorEastAsia"/>
          <w:u w:val="single"/>
          <w:lang w:eastAsia="zh-CN"/>
        </w:rPr>
      </w:pPr>
      <w:r>
        <w:rPr>
          <w:rFonts w:hint="eastAsia" w:eastAsiaTheme="minorEastAsia"/>
          <w:u w:val="single"/>
          <w:lang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七、交付日期和地点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1、交付日期：自合同生效之日起日内交付</w:t>
      </w:r>
      <w:r>
        <w:rPr>
          <w:rFonts w:hint="eastAsia" w:ascii="宋体" w:hAnsi="宋体" w:cs="宋体"/>
          <w:szCs w:val="21"/>
          <w:lang w:eastAsia="zh-CN"/>
        </w:rPr>
        <w:t>(</w:t>
      </w:r>
      <w:r>
        <w:rPr>
          <w:rFonts w:hint="eastAsia" w:ascii="宋体" w:hAnsi="宋体" w:cs="宋体"/>
          <w:sz w:val="24"/>
          <w:lang w:eastAsia="zh-CN"/>
        </w:rPr>
        <w:t>自年月日起至年月日止)。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 xml:space="preserve">2、交付地点：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 xml:space="preserve">3、风险负担：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货物毁损、灭失的风险在该货物通过甲乙双方联合验收交付前由乙方承担，通过联合验收交付后由甲方承担；因质量问题甲方拒收的，风险由乙方承担。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七、质量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货物的质量应符合磋商（谈判）文件、响应文件及乙方在磋商（谈判）过程中做出的书面澄清及承诺。</w:t>
      </w:r>
    </w:p>
    <w:p>
      <w:pPr>
        <w:keepNext w:val="0"/>
        <w:keepLines w:val="0"/>
        <w:pageBreakBefore w:val="0"/>
        <w:tabs>
          <w:tab w:val="left" w:pos="382"/>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八、包装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货物的包装应按照国家或业务主管部门的技术规定执行，国家或业务主管部门无技术规定的，应当按双方约定采取足以保护货物安全、完好的包装方式。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九、运输要求</w:t>
      </w:r>
    </w:p>
    <w:p>
      <w:pPr>
        <w:keepNext w:val="0"/>
        <w:keepLines w:val="0"/>
        <w:pageBreakBefore w:val="0"/>
        <w:tabs>
          <w:tab w:val="left" w:pos="8786"/>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 xml:space="preserve">1、运输方式及线路： XXXXXXXXXXXXX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2、运输及相关费用由乙方承担。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十、知识产权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乙方应保证甲方在中国境内使用货物或货物的任何一部分时，免受第三方提出的侵犯其知识产权的诉讼。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十一、验收</w:t>
      </w:r>
    </w:p>
    <w:p>
      <w:pPr>
        <w:keepNext w:val="0"/>
        <w:keepLines w:val="0"/>
        <w:pageBreakBefore w:val="0"/>
        <w:tabs>
          <w:tab w:val="left" w:pos="764"/>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1、货物到达交货地点交付前，甲方和乙方在  日内共同开箱检验货物的规格、质量和数量等状况，如货物需要安装、调试，则由乙方负责并承担相应的费用，甲方应积极配合。安装调试后   日内，甲、乙双方应按照合同要求验收，并共同在《采购项目验收单》上签字确认。</w:t>
      </w:r>
    </w:p>
    <w:p>
      <w:pPr>
        <w:keepNext w:val="0"/>
        <w:keepLines w:val="0"/>
        <w:pageBreakBefore w:val="0"/>
        <w:tabs>
          <w:tab w:val="left" w:pos="955"/>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2、对货物的质量问题，甲方应在发现和应当发现之日起   日内向乙方提出书面异议，乙方在接到书面异议后，应当在   日内负责处理。甲方逾期提出的，对所交货物视为符合合同的规定。如果乙方在磋商（谈判）文件及询问过程中做出的书面说明及承诺中，有明确质量保证期的，适用质量保证期。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3、经双方共同验收，货物达不到质量或规格要求的，甲方可以拒收，并可以解除合同。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4、本合同为甲方进行履约验收的主要依据。甲方应专门成立履约验收小组,于乙方交付项目时组织验收，验收人员应与采购人员相分离。验收应严格按照磋商（谈判）文件和采购合同进行，保证采购项目与磋商（谈判）文件和采购合同内容的一致。</w:t>
      </w:r>
    </w:p>
    <w:p>
      <w:pPr>
        <w:keepNext w:val="0"/>
        <w:keepLines w:val="0"/>
        <w:pageBreakBefore w:val="0"/>
        <w:tabs>
          <w:tab w:val="left" w:pos="573"/>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十二、售后服务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乙方应按磋商（谈判）文件、响应文件及乙方在磋商（谈判）过程中做出的书面说明或承诺提供及时、快速、优质的售后服务。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 xml:space="preserve">见附件二：乙方响应文件售后服务承诺材料 </w:t>
      </w:r>
    </w:p>
    <w:p>
      <w:pPr>
        <w:keepNext w:val="0"/>
        <w:keepLines w:val="0"/>
        <w:pageBreakBefore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bookmarkStart w:id="165" w:name="_Toc51174770"/>
      <w:bookmarkStart w:id="166" w:name="_Toc8586"/>
      <w:bookmarkStart w:id="167" w:name="_Toc5698"/>
      <w:bookmarkStart w:id="168" w:name="_Toc24662"/>
      <w:bookmarkStart w:id="169" w:name="_Toc3079"/>
      <w:bookmarkStart w:id="170" w:name="_Toc51174906"/>
      <w:bookmarkStart w:id="171" w:name="_Toc2375"/>
      <w:r>
        <w:rPr>
          <w:rFonts w:hint="eastAsia" w:ascii="宋体" w:hAnsi="宋体" w:cs="宋体"/>
          <w:sz w:val="24"/>
          <w:lang w:eastAsia="zh-CN"/>
        </w:rPr>
        <w:t>十三、违约责任</w:t>
      </w:r>
      <w:bookmarkEnd w:id="165"/>
      <w:bookmarkEnd w:id="166"/>
      <w:bookmarkEnd w:id="167"/>
      <w:bookmarkEnd w:id="168"/>
      <w:bookmarkEnd w:id="169"/>
      <w:bookmarkEnd w:id="170"/>
      <w:bookmarkEnd w:id="171"/>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1、除不可抗力外，如果乙方没有按照本合同约定的期限、地点和方式履行，甲方可要求乙方支付违约金，违约金按每迟延履行一日的应提供而未提供服务（或货物）本合同价格的 %计算，最高限额为本合同总价的 %；迟延履行的违约金计算数额达到前述最高限额之日起，甲方有权在要求乙方支付违约金的同时，书面通知乙方解除本合同；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2、 除不可抗力外，如果甲方没有按照本合同约定的付款方式付款，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autoSpaceDE/>
        <w:autoSpaceDN/>
        <w:bidi w:val="0"/>
        <w:adjustRightInd/>
        <w:snapToGrid/>
        <w:ind w:firstLine="440" w:firstLineChars="200"/>
        <w:textAlignment w:val="auto"/>
        <w:rPr>
          <w:rFonts w:ascii="宋体" w:hAnsi="宋体" w:cs="宋体"/>
          <w:lang w:eastAsia="zh-CN"/>
        </w:rPr>
      </w:pPr>
      <w:bookmarkStart w:id="172" w:name="_Toc51174771"/>
      <w:bookmarkStart w:id="173" w:name="_Toc26807"/>
      <w:bookmarkStart w:id="174" w:name="_Toc51174907"/>
      <w:bookmarkStart w:id="175" w:name="_Toc9497"/>
      <w:bookmarkStart w:id="176" w:name="_Toc32454"/>
      <w:bookmarkStart w:id="177" w:name="_Toc18683"/>
      <w:bookmarkStart w:id="178" w:name="_Toc30329"/>
      <w:r>
        <w:rPr>
          <w:rFonts w:hint="eastAsia" w:ascii="宋体" w:hAnsi="宋体" w:cs="宋体"/>
          <w:lang w:eastAsia="zh-CN"/>
        </w:rPr>
        <w:t>十四、合同争议的解决</w:t>
      </w:r>
      <w:bookmarkEnd w:id="172"/>
      <w:bookmarkEnd w:id="173"/>
      <w:bookmarkEnd w:id="174"/>
      <w:bookmarkEnd w:id="175"/>
      <w:bookmarkEnd w:id="176"/>
      <w:bookmarkEnd w:id="177"/>
      <w:bookmarkEnd w:id="17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本合同履行过程中发生的任何争议，双方当事人均可通过和解或者调解解决；不愿和解、调解或者和解、调解不成的，可以选择下列第    种方式解决：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1、 将争议提交 仲裁委员会（如济南仲裁委员会等）依申请仲裁时其现行有效的仲裁规则裁决；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2、向</w:t>
      </w:r>
      <w:r>
        <w:rPr>
          <w:rFonts w:hint="eastAsia" w:ascii="宋体" w:hAnsi="宋体" w:cs="宋体"/>
          <w:sz w:val="24"/>
          <w:u w:val="single"/>
          <w:lang w:eastAsia="zh-CN"/>
        </w:rPr>
        <w:t xml:space="preserve">   （</w:t>
      </w:r>
      <w:r>
        <w:rPr>
          <w:rFonts w:hint="eastAsia" w:ascii="宋体" w:hAnsi="宋体" w:cs="宋体"/>
          <w:sz w:val="24"/>
          <w:lang w:eastAsia="zh-CN"/>
        </w:rPr>
        <w:t>被告住所地、合同履行地、合同签订地、原告住所地、标的物所在地等与争议有实际联系的地点中选出的人民法院名称）人民法院起诉。</w:t>
      </w:r>
    </w:p>
    <w:p>
      <w:pPr>
        <w:keepNext w:val="0"/>
        <w:keepLines w:val="0"/>
        <w:pageBreakBefore w:val="0"/>
        <w:kinsoku/>
        <w:wordWrap/>
        <w:overflowPunct/>
        <w:topLinePunct w:val="0"/>
        <w:autoSpaceDE/>
        <w:autoSpaceDN/>
        <w:bidi w:val="0"/>
        <w:adjustRightInd/>
        <w:snapToGrid/>
        <w:ind w:firstLine="440" w:firstLineChars="200"/>
        <w:textAlignment w:val="auto"/>
        <w:rPr>
          <w:rFonts w:ascii="宋体" w:hAnsi="宋体" w:cs="宋体"/>
          <w:lang w:eastAsia="zh-CN"/>
        </w:rPr>
      </w:pPr>
      <w:r>
        <w:rPr>
          <w:rFonts w:hint="eastAsia" w:ascii="宋体" w:hAnsi="宋体" w:cs="宋体"/>
          <w:lang w:eastAsia="zh-CN"/>
        </w:rPr>
        <w:t xml:space="preserve"> 十五、合同生效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本合同经甲乙双方签字盖章之日起生效。</w:t>
      </w:r>
    </w:p>
    <w:p>
      <w:pPr>
        <w:keepNext w:val="0"/>
        <w:keepLines w:val="0"/>
        <w:pageBreakBefore w:val="0"/>
        <w:kinsoku/>
        <w:wordWrap/>
        <w:overflowPunct/>
        <w:topLinePunct w:val="0"/>
        <w:autoSpaceDE/>
        <w:autoSpaceDN/>
        <w:bidi w:val="0"/>
        <w:adjustRightInd/>
        <w:snapToGrid/>
        <w:ind w:firstLine="440" w:firstLineChars="200"/>
        <w:textAlignment w:val="auto"/>
        <w:rPr>
          <w:rFonts w:ascii="宋体" w:hAnsi="宋体" w:cs="宋体"/>
          <w:lang w:eastAsia="zh-CN"/>
        </w:rPr>
      </w:pPr>
      <w:r>
        <w:rPr>
          <w:rFonts w:hint="eastAsia" w:ascii="宋体" w:hAnsi="宋体" w:cs="宋体"/>
          <w:lang w:eastAsia="zh-CN"/>
        </w:rPr>
        <w:t>十六、合同保存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本合同一式 份，甲方份，乙方份，采购代理机构份。</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ascii="宋体" w:hAnsi="宋体" w:cs="宋体"/>
          <w:lang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eastAsia="zh-CN"/>
        </w:rPr>
      </w:pPr>
      <w:r>
        <w:rPr>
          <w:rFonts w:hint="eastAsia" w:ascii="宋体" w:hAnsi="宋体" w:cs="宋体"/>
          <w:sz w:val="24"/>
          <w:lang w:eastAsia="zh-CN"/>
        </w:rPr>
        <w:t>附件一：同响应文件中最终报价修正后分项报价表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lang w:eastAsia="zh-CN"/>
        </w:rPr>
        <w:t>附件二：乙方响应文件售后服务承诺材料</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br w:type="page"/>
      </w:r>
    </w:p>
    <w:p>
      <w:pPr>
        <w:jc w:val="center"/>
        <w:rPr>
          <w:rFonts w:ascii="宋体" w:hAnsi="宋体" w:cs="宋体"/>
          <w:sz w:val="24"/>
          <w:lang w:eastAsia="zh-CN"/>
        </w:rPr>
      </w:pPr>
      <w:r>
        <w:rPr>
          <w:rFonts w:hint="eastAsia" w:ascii="宋体" w:hAnsi="宋体" w:cs="宋体"/>
          <w:sz w:val="24"/>
          <w:lang w:eastAsia="zh-CN"/>
        </w:rPr>
        <w:t>第二部分 合同一般条款</w:t>
      </w:r>
    </w:p>
    <w:p>
      <w:pPr>
        <w:rPr>
          <w:rFonts w:ascii="宋体" w:hAnsi="宋体" w:cs="宋体"/>
          <w:sz w:val="24"/>
          <w:lang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 xml:space="preserve">甲方在本项目中所需服务由（代理机构）在国内进行竞争性磋商（谈判），经磋商小组评定，确定（乙方）为本项目成交供应商。甲乙双方根据《中华人民共和国政府采购法》、《中华人民共和国合同法》等相关法律法规以及本项目竞争性磋商（谈判）的规定，经平等协商达成合同如下：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一、定义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除非另有特别解释或说明，在本合同及与本合同相关的，双方另行签署的其他文件（包括但不限于本合同的附件）中，下述词语均依如下定义进行解释：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1、“合同”指甲乙双方签署的，与本项目相关的协议、附件、附录和其他一切文件，还包括竞争性磋商（谈判）、响应文件中的相关内容及其有效补充文件。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2、“附件”是指与本合同的订立、履行有关的，经甲乙双方认可的，对本合同约定的内容进行细化、补充、修改、变更的文件、图纸、音像制品等资料。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3、“货物”指合同货物清单中所规定的硬件、软件、安装材料、备件及专用器具、文件资料等内容。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5、“检验”指按照本合同约定的标准对合同货物进行的检测与查验。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6、“技术资料”指安装、调试、使用、维修合同货物所应具备的产品使用说明书和／或使用指南、操作手册、维修指南、服务手册、电路图、产品演示等文件。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7、“保修期”指自验收单签署之日起，乙方免费对所卖给甲方货物更换整件或零部件，维修、保养及技术支持、产品升级并以自担费用方式保证项目正常运行的时期。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8、“第三人”是指本合同双方以外的任何中国境内、外的自然人、法人或其他经济组织。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9、“法律、法规”是指由中国有关部门制定的法律、行政法规、地方性法规、规章及其他规范性文件以及经全国人民代表大会常务委员会批准的中国缔结、参加的国际条（公）约的有关规定。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10、“竞争性磋商（谈判）”指XXX采购代理机构发布的本项目竞争性磋商（谈判）。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11、“响应文件”指乙方按照本项目竞争性磋商（谈判）的要求编制和投递，并最终经XXX采购代理机构接受的响应文件。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二、货物、数量及规格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本合同所提供的货物、数量及规格详见合同货物清单（附件一）（同响应文件中响应文件分项报价表）。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三、合同价格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1、合同金额详见合同格式。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2、本合同价格包括服务期间时所发生或引起的本合同相关的全部成本、费用等，且为完税后价格。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四、付款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1、双方因本合同发生的一切费用均以人民币结算及支付。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2、双方的帐户名称、开户银行及帐号以本合同提供的为准。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3、付款途径：按照竞争性磋商（谈判）</w:t>
      </w:r>
      <w:r>
        <w:rPr>
          <w:rFonts w:hint="eastAsia" w:ascii="宋体" w:hAnsi="宋体" w:cs="宋体"/>
          <w:sz w:val="24"/>
          <w:u w:val="single"/>
          <w:lang w:eastAsia="zh-CN"/>
        </w:rPr>
        <w:t>供应商须知资料表</w:t>
      </w:r>
      <w:r>
        <w:rPr>
          <w:rFonts w:hint="eastAsia" w:ascii="宋体" w:hAnsi="宋体" w:cs="宋体"/>
          <w:sz w:val="24"/>
          <w:lang w:eastAsia="zh-CN"/>
        </w:rPr>
        <w:t>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 国库集中支付（预算内资金或预算外资金）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 甲方支付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 国库(预算内资金或预算外资金)与甲方共同支付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lang w:eastAsia="zh-CN"/>
        </w:rPr>
      </w:pPr>
      <w:r>
        <w:rPr>
          <w:rFonts w:hint="eastAsia" w:ascii="宋体" w:hAnsi="宋体" w:cs="宋体"/>
          <w:sz w:val="24"/>
          <w:lang w:eastAsia="zh-CN"/>
        </w:rPr>
        <w:t>4、付款方式：按照竞争性磋商</w:t>
      </w:r>
      <w:r>
        <w:rPr>
          <w:rFonts w:hint="eastAsia" w:ascii="宋体" w:hAnsi="宋体" w:cs="宋体"/>
          <w:sz w:val="24"/>
          <w:lang w:val="en-US" w:eastAsia="zh-CN"/>
        </w:rPr>
        <w:t>文件</w:t>
      </w:r>
      <w:r>
        <w:rPr>
          <w:rFonts w:hint="eastAsia" w:ascii="宋体" w:hAnsi="宋体" w:cs="宋体"/>
          <w:sz w:val="24"/>
          <w:u w:val="single"/>
          <w:lang w:eastAsia="zh-CN"/>
        </w:rPr>
        <w:t>供应商须知资料表</w:t>
      </w:r>
      <w:r>
        <w:rPr>
          <w:rFonts w:hint="eastAsia" w:ascii="宋体" w:hAnsi="宋体" w:cs="宋体"/>
          <w:sz w:val="24"/>
          <w:lang w:eastAsia="zh-CN"/>
        </w:rPr>
        <w:t>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 分期支付方式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①合同生效之日起5个工作日内，支付合同金额的30 %；项目交付后经乙方安装、调试并经双方验收合格之日5个工作日内支付合同金额的70 %。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②其他分期支付方式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 一次性支付方式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项目交付后经乙方安装、调试并经双方验收合格之日5个工作日内支付全部款项。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6、甲方直接与乙方付款结算，XXX采购代理机构不对其付款承担连带责任或任何其它责任，在任何情形下乙方亦只能直接向甲方追索而不应当向XXX采购代理机构追索。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五、交付日期和地点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1、交付日期：按照竞争性磋商（谈判）</w:t>
      </w:r>
      <w:r>
        <w:rPr>
          <w:rFonts w:hint="eastAsia" w:ascii="宋体" w:hAnsi="宋体" w:cs="宋体"/>
          <w:sz w:val="24"/>
          <w:u w:val="single"/>
          <w:lang w:eastAsia="zh-CN"/>
        </w:rPr>
        <w:t>供应商须知资料表</w:t>
      </w:r>
      <w:r>
        <w:rPr>
          <w:rFonts w:hint="eastAsia" w:ascii="宋体" w:hAnsi="宋体" w:cs="宋体"/>
          <w:sz w:val="24"/>
          <w:lang w:eastAsia="zh-CN"/>
        </w:rPr>
        <w:t>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2、交付地点：按照竞争性磋商（谈判）</w:t>
      </w:r>
      <w:r>
        <w:rPr>
          <w:rFonts w:hint="eastAsia" w:ascii="宋体" w:hAnsi="宋体" w:cs="宋体"/>
          <w:sz w:val="24"/>
          <w:u w:val="single"/>
          <w:lang w:eastAsia="zh-CN"/>
        </w:rPr>
        <w:t>供应商须知资料表</w:t>
      </w:r>
      <w:r>
        <w:rPr>
          <w:rFonts w:hint="eastAsia" w:ascii="宋体" w:hAnsi="宋体" w:cs="宋体"/>
          <w:sz w:val="24"/>
          <w:lang w:eastAsia="zh-CN"/>
        </w:rPr>
        <w:t>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六、包装和标记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1、乙方交付的所有合同货物应具有适于运输的坚固包装，并且乙方应根据合同货物的不同特性和要求采取防潮、防雨、防锈、防震、防腐等保护措施，以确保合同货物安全无损地送达交货地点。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2、凡由于乙方对合同货物包装不善、标记不明、防护措施不当或在合同货物装箱前保管不良，致使合同货物遭到损坏或丢失，乙方应负责免费修理或更换，并承担由此给甲方造成的一切损失。</w:t>
      </w:r>
      <w:bookmarkStart w:id="179" w:name="_Toc86202599"/>
      <w:bookmarkStart w:id="180" w:name="_Toc175644047"/>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七、质量标准和检验</w:t>
      </w:r>
      <w:bookmarkEnd w:id="179"/>
      <w:r>
        <w:rPr>
          <w:rFonts w:hint="eastAsia" w:ascii="宋体" w:hAnsi="宋体" w:cs="宋体"/>
          <w:sz w:val="24"/>
          <w:lang w:eastAsia="zh-CN"/>
        </w:rPr>
        <w:t>方式</w:t>
      </w:r>
      <w:bookmarkEnd w:id="18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1、乙方应保证提供给甲方的合同货物是货物生产厂商原造的，全新、未使用过的， 是用一流的工艺和优质材料制造而成的，并完全符合本项目竞争性磋商（谈判）规定的质量、性能和规格的要求。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乙方提供给甲方的合同货物应通过货物制造厂商的出厂检验，并提供质量合格证书。乙方承诺提供给甲方的合同货物的技术规范应与本项目竞争性磋商（谈判）中《项目需求和技术方案要求》部分中的规定及响应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4、乙方应保证所提供的货物经正确安装、合理操作和维护保养在其使用寿命期内具有令甲方满意的性能，并对由于合同货物的设计、工艺或材料的缺陷而发生的任何故障负责。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6、合同期满或者履行完毕后，甲方有权组织（包括依法邀请国家认可的质量检测机构参加）对乙方履约的验收并出具验收书，即：在收到供应商项目验收建议之日起7 个工作日内，按照合同约定的技术、服务、安全标准，组织对每一项技术、服务、安全标准的实质性验收。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7、若检验时发现货物数量不足、规格与合同要求不符或开箱时虽然货物外包装完好无损，但箱内货物短缺或损伤，双方应签署书面形式证明，乙方应根据该证明及时补足或更换。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bookmarkStart w:id="181" w:name="_Toc175644048"/>
      <w:bookmarkStart w:id="182" w:name="_Toc86202601"/>
      <w:r>
        <w:rPr>
          <w:rFonts w:hint="eastAsia" w:ascii="宋体" w:hAnsi="宋体" w:cs="宋体"/>
          <w:sz w:val="24"/>
          <w:lang w:eastAsia="zh-CN"/>
        </w:rPr>
        <w:t>八、技术服务和保修责任</w:t>
      </w:r>
      <w:bookmarkEnd w:id="181"/>
      <w:bookmarkEnd w:id="182"/>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1、乙方对合同货物、服务的保修期按照</w:t>
      </w:r>
      <w:r>
        <w:rPr>
          <w:rFonts w:hint="eastAsia" w:ascii="宋体" w:hAnsi="宋体" w:cs="宋体"/>
          <w:sz w:val="24"/>
          <w:u w:val="single"/>
          <w:lang w:eastAsia="zh-CN"/>
        </w:rPr>
        <w:t>供应商须知资料表</w:t>
      </w:r>
      <w:r>
        <w:rPr>
          <w:rFonts w:hint="eastAsia" w:ascii="宋体" w:hAnsi="宋体" w:cs="宋体"/>
          <w:sz w:val="24"/>
          <w:lang w:eastAsia="zh-CN"/>
        </w:rPr>
        <w:t>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4、在免费保修期内，如果由于乙方更换、修理和续补货物或更换服务，而造成本合同不得不停止运行，保修期应依照停止运行的实际时间加以延长，如因此给甲方造成损失，乙方应负责赔偿。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7、若由于甲方提出增加并不涉及安全性的新功能而引起的软件升级，相关成本费由甲方承担，乙方不得赚取利润或拒绝、拖延。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8、若由于乙方增加并不涉及安全性的新功能引起软件升级，而且甲方愿意增加该新功能时，由双方协商解决。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九、违约责任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提交争议解决机构认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1）在甲方同意延长的期限内交付全部货物、提供服务并承担由此给甲方造成的直接损失及甲方因此产生的对第三方的责任。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3）根据货物、服务低劣程度、损坏程度以及使甲方所遭受的损失及甲方因此产生的对第三方的责任，经双方商定降低货物、服务的价格或赔偿甲方所遭受的损失及甲方因此产生的对第三方的责任。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4）按合同规定的同种货币将甲方所退货物已支付的货款全部退还给甲方，并承担由此发生的直接损失和相关费用及甲方因此产生的对第三方的责任。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5）甲方有权部分或全部解除合同并要求乙方赔偿由此造成的损失及甲方因此产生的对第三方的责任。此时甲方可采取必要的补救措施，相关费用由乙方承担。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6）此外，上述情形下甲方为采取必要的补救措施或因防止损失扩大而支出的合理费用应由乙方承担。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4、甲方如延期付款，每逾期1日，按应付金额0.3‰支付违约金。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5、乙方延期交付，每延迟1日，按应交付货物总额0.3‰支付违约金。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6、若发生上述情形之外的任何违约时，违约方在接到对方关于违约的通知时，均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7、以上各项交付的违约金并不影响违约方履行合同的各项义务。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bookmarkStart w:id="183" w:name="_Toc175644050"/>
      <w:r>
        <w:rPr>
          <w:rFonts w:hint="eastAsia" w:ascii="宋体" w:hAnsi="宋体" w:cs="宋体"/>
          <w:sz w:val="24"/>
          <w:lang w:eastAsia="zh-CN"/>
        </w:rPr>
        <w:t>十、不可抗力</w:t>
      </w:r>
      <w:bookmarkEnd w:id="183"/>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1、不可抗力指下列事件：战争、动乱、瘟疫、严重火灾、洪水、地震、风暴或其他自然灾害，以及本合同各方不可预见、不可防止并不能避免或克服的一切其他因素及事件。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4、合同各方应根据不可抗力对本合同履行的影响程度，协商确定是否终止本合同，或是继续履行本合同。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十一、联系方式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合同双方发出的与本合同有关的通知或回复均应发至竞争性磋商（谈判）与响应文件中的通讯地址，付款或收款应使用响应文件中的帐号，一方变更通讯地址或帐号，应自变更之日起3个工作日内，将变更后的地址通知对方。变更方不履行通知义务的，应对此造成的一切后果承担法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3、上述发出通知、回复的费用由发出一方承担。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十二、保密条款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1、任何一方对其获知的本合同及附件中其他各方的商业秘密和国家秘密负有保密义务。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十三、合同的解释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1、任何一方对本合同及其附件的解释均应遵循诚实信用原则,依照本合同签订时有效的中国法律、法规以及通常的理解进行。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2、本合同标题仅供查阅方便，并非对本合同的诠释或解释；本合同中以日表述的时间期限均指自然日。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3、对本合同的任何解释均应以书面做出。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十四、合同的终止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1、本合同因下列原因而终止：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1）本合同正常履行完毕；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2）合同双方协议终止本合同的履行；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3）不可抗力事件导致本合同无法履行或履行不必要；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2、对本合同终止有过错的一方应赔偿另一方因合同终止而受到的损失。对合同终止双方均无过错的，则各自承担所受到的损失。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十五、法律适用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1、本合同及附件的订立、效力、解释、履行、争议的解决等适用本合同签订时有效的中华人民共和国法律、法规的有关规定。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十六、权利的保留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十七、争议的解决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1、合同双方应通过友好协商解决因解释﹑执行本合同所发生的和本合同有关的一切争议。如果经协商不能达成协议，可以采用以下方式解决（按照</w:t>
      </w:r>
      <w:r>
        <w:rPr>
          <w:rFonts w:hint="eastAsia" w:ascii="宋体" w:hAnsi="宋体" w:cs="宋体"/>
          <w:sz w:val="24"/>
          <w:u w:val="single"/>
          <w:lang w:eastAsia="zh-CN"/>
        </w:rPr>
        <w:t>供应商须知资料表</w:t>
      </w:r>
      <w:r>
        <w:rPr>
          <w:rFonts w:hint="eastAsia" w:ascii="宋体" w:hAnsi="宋体" w:cs="宋体"/>
          <w:sz w:val="24"/>
          <w:lang w:eastAsia="zh-CN"/>
        </w:rPr>
        <w:t>规定）：（1）提交济南仲裁委员会仲裁；（2）向人民法院起诉。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2、在争议解决期间，除了诉讼或仲裁进行过程中正在解决的那部分问题外，合同其余部分应继续履行。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十八、合同的生效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本合同经甲乙双方法定代表人/负责人或授权代理人签字加盖单位公章后生效。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十九、其他约定事项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1、本合同中的附件均为本合同不可分割的部分，与本合同具有相同的法律效力。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2、不得将合同转让给第三人，有关分包事项或服务委托等须遵守相关法律、法规；有关联合响应文件须在本次磋商（谈判）允许的情况下并须符合本次磋商（谈判）的全部规定。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lang w:eastAsia="zh-CN"/>
        </w:rPr>
      </w:pPr>
      <w:r>
        <w:rPr>
          <w:rFonts w:hint="eastAsia" w:ascii="宋体" w:hAnsi="宋体" w:cs="宋体"/>
          <w:sz w:val="24"/>
          <w:lang w:eastAsia="zh-CN"/>
        </w:rPr>
        <w:t>3、本合同一式二份，具有同等法律效力。</w:t>
      </w:r>
    </w:p>
    <w:p>
      <w:pPr>
        <w:spacing w:line="320" w:lineRule="exact"/>
        <w:rPr>
          <w:rFonts w:ascii="宋体" w:hAnsi="宋体" w:cs="宋体"/>
          <w:lang w:eastAsia="zh-CN"/>
        </w:rPr>
      </w:pPr>
    </w:p>
    <w:p>
      <w:pPr>
        <w:pStyle w:val="38"/>
        <w:spacing w:line="360" w:lineRule="auto"/>
        <w:ind w:firstLine="0"/>
        <w:jc w:val="center"/>
        <w:rPr>
          <w:rFonts w:hAnsi="宋体" w:cs="宋体"/>
          <w:b/>
          <w:szCs w:val="24"/>
          <w:lang w:eastAsia="zh-CN"/>
        </w:rPr>
      </w:pPr>
      <w:bookmarkStart w:id="184" w:name="_Toc331685784"/>
      <w:r>
        <w:rPr>
          <w:rFonts w:hint="eastAsia" w:hAnsi="宋体" w:cs="宋体"/>
          <w:b/>
          <w:szCs w:val="24"/>
          <w:lang w:eastAsia="zh-CN"/>
        </w:rPr>
        <w:t>第三部分  合同专用条款</w:t>
      </w:r>
      <w:bookmarkEnd w:id="184"/>
    </w:p>
    <w:p>
      <w:pPr>
        <w:spacing w:line="360" w:lineRule="auto"/>
        <w:ind w:firstLine="480" w:firstLineChars="200"/>
        <w:rPr>
          <w:rFonts w:ascii="宋体" w:hAnsi="宋体" w:cs="宋体"/>
          <w:sz w:val="24"/>
          <w:lang w:eastAsia="zh-CN"/>
        </w:rPr>
      </w:pPr>
      <w:r>
        <w:rPr>
          <w:rFonts w:hint="eastAsia" w:ascii="宋体" w:hAnsi="宋体" w:cs="宋体"/>
          <w:sz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7633"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360" w:lineRule="auto"/>
              <w:rPr>
                <w:rFonts w:ascii="宋体" w:hAnsi="宋体" w:cs="宋体"/>
                <w:sz w:val="24"/>
              </w:rPr>
            </w:pPr>
          </w:p>
        </w:tc>
        <w:tc>
          <w:tcPr>
            <w:tcW w:w="7633"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auto"/>
              <w:rPr>
                <w:rFonts w:ascii="宋体" w:hAnsi="宋体" w:cs="宋体"/>
                <w:sz w:val="24"/>
              </w:rPr>
            </w:pPr>
          </w:p>
        </w:tc>
        <w:tc>
          <w:tcPr>
            <w:tcW w:w="7633"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auto"/>
              <w:rPr>
                <w:rFonts w:ascii="宋体" w:hAnsi="宋体" w:cs="宋体"/>
                <w:sz w:val="24"/>
              </w:rPr>
            </w:pPr>
          </w:p>
        </w:tc>
        <w:tc>
          <w:tcPr>
            <w:tcW w:w="7633"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auto"/>
              <w:rPr>
                <w:rFonts w:ascii="宋体" w:hAnsi="宋体" w:cs="宋体"/>
                <w:sz w:val="24"/>
              </w:rPr>
            </w:pPr>
          </w:p>
        </w:tc>
        <w:tc>
          <w:tcPr>
            <w:tcW w:w="7633"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auto"/>
              <w:rPr>
                <w:rFonts w:ascii="宋体" w:hAnsi="宋体" w:cs="宋体"/>
                <w:sz w:val="24"/>
              </w:rPr>
            </w:pPr>
          </w:p>
        </w:tc>
        <w:tc>
          <w:tcPr>
            <w:tcW w:w="7633" w:type="dxa"/>
            <w:vAlign w:val="center"/>
          </w:tcPr>
          <w:p>
            <w:pPr>
              <w:spacing w:line="360" w:lineRule="auto"/>
              <w:rPr>
                <w:rFonts w:ascii="宋体" w:hAnsi="宋体" w:cs="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auto"/>
              <w:rPr>
                <w:rFonts w:ascii="宋体" w:hAnsi="宋体" w:cs="宋体"/>
                <w:sz w:val="24"/>
              </w:rPr>
            </w:pPr>
          </w:p>
        </w:tc>
        <w:tc>
          <w:tcPr>
            <w:tcW w:w="7633"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auto"/>
              <w:rPr>
                <w:rFonts w:ascii="宋体" w:hAnsi="宋体" w:cs="宋体"/>
                <w:sz w:val="24"/>
              </w:rPr>
            </w:pPr>
          </w:p>
        </w:tc>
        <w:tc>
          <w:tcPr>
            <w:tcW w:w="7633" w:type="dxa"/>
            <w:vAlign w:val="center"/>
          </w:tcPr>
          <w:p>
            <w:pPr>
              <w:spacing w:line="360" w:lineRule="auto"/>
              <w:rPr>
                <w:rFonts w:ascii="宋体" w:hAnsi="宋体" w:cs="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auto"/>
              <w:rPr>
                <w:rFonts w:ascii="宋体" w:hAnsi="宋体" w:cs="宋体"/>
                <w:sz w:val="24"/>
              </w:rPr>
            </w:pPr>
          </w:p>
        </w:tc>
        <w:tc>
          <w:tcPr>
            <w:tcW w:w="7633"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auto"/>
              <w:rPr>
                <w:rFonts w:ascii="宋体" w:hAnsi="宋体" w:cs="宋体"/>
                <w:sz w:val="24"/>
              </w:rPr>
            </w:pPr>
          </w:p>
        </w:tc>
        <w:tc>
          <w:tcPr>
            <w:tcW w:w="7633"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auto"/>
              <w:rPr>
                <w:rFonts w:ascii="宋体" w:hAnsi="宋体" w:cs="宋体"/>
                <w:sz w:val="24"/>
              </w:rPr>
            </w:pPr>
          </w:p>
        </w:tc>
        <w:tc>
          <w:tcPr>
            <w:tcW w:w="7633"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z w:val="24"/>
              </w:rPr>
            </w:pPr>
          </w:p>
        </w:tc>
      </w:tr>
    </w:tbl>
    <w:p>
      <w:pPr>
        <w:spacing w:line="360" w:lineRule="auto"/>
        <w:ind w:firstLine="480"/>
        <w:rPr>
          <w:rFonts w:ascii="宋体" w:hAnsi="宋体" w:cs="宋体"/>
        </w:rPr>
      </w:pPr>
    </w:p>
    <w:p>
      <w:pPr>
        <w:spacing w:line="360" w:lineRule="auto"/>
        <w:ind w:firstLine="480"/>
        <w:rPr>
          <w:rFonts w:ascii="宋体" w:hAnsi="宋体" w:cs="宋体"/>
        </w:rPr>
      </w:pPr>
    </w:p>
    <w:p>
      <w:pPr>
        <w:pStyle w:val="29"/>
        <w:rPr>
          <w:rFonts w:ascii="宋体" w:hAnsi="宋体" w:cs="宋体"/>
        </w:rPr>
      </w:pPr>
    </w:p>
    <w:p>
      <w:pPr>
        <w:pStyle w:val="29"/>
        <w:rPr>
          <w:rFonts w:ascii="宋体" w:hAnsi="宋体" w:cs="宋体"/>
        </w:rPr>
      </w:pPr>
    </w:p>
    <w:p>
      <w:pPr>
        <w:pStyle w:val="4"/>
        <w:ind w:left="0" w:leftChars="0" w:firstLine="0" w:firstLineChars="0"/>
        <w:jc w:val="both"/>
        <w:rPr>
          <w:rFonts w:hint="eastAsia" w:cs="宋体"/>
          <w:sz w:val="24"/>
          <w:lang w:val="en-US" w:eastAsia="zh-CN"/>
        </w:rPr>
      </w:pPr>
    </w:p>
    <w:p>
      <w:pPr>
        <w:pStyle w:val="8"/>
        <w:bidi w:val="0"/>
        <w:rPr>
          <w:rFonts w:hint="default"/>
          <w:lang w:val="en-US"/>
        </w:rPr>
      </w:pPr>
      <w:r>
        <w:rPr>
          <w:rFonts w:hint="eastAsia"/>
          <w:lang w:val="en-US" w:eastAsia="zh-CN"/>
        </w:rPr>
        <w:t>-本页为磋商文件最后一页-</w:t>
      </w:r>
    </w:p>
    <w:sectPr>
      <w:footerReference r:id="rId15" w:type="default"/>
      <w:pgSz w:w="11910" w:h="16840"/>
      <w:pgMar w:top="1580" w:right="1680" w:bottom="1582" w:left="1680" w:header="992" w:footer="454"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rPr>
      <w:pict>
        <v:shape id="_x0000_s4103" o:spid="_x0000_s4103" o:spt="202" type="#_x0000_t202" style="position:absolute;left:0pt;margin-left:201.8pt;margin-top:-10pt;height:21.65pt;width:16.45pt;mso-position-horizontal-relative:margin;z-index:251665408;mso-width-relative:page;mso-height-relative:page;" filled="f" stroked="f" coordsize="21600,21600">
          <v:path/>
          <v:fill on="f" focussize="0,0"/>
          <v:stroke on="f"/>
          <v:imagedata o:title=""/>
          <o:lock v:ext="edit" aspectratio="f"/>
          <v:textbox inset="0mm,0mm,0mm,0mm">
            <w:txbxContent>
              <w:p>
                <w:pPr>
                  <w:pStyle w:val="18"/>
                </w:pPr>
                <w:r>
                  <w:fldChar w:fldCharType="begin"/>
                </w:r>
                <w:r>
                  <w:instrText xml:space="preserve"> PAGE  \* MERGEFORMAT </w:instrText>
                </w:r>
                <w:r>
                  <w:fldChar w:fldCharType="separate"/>
                </w:r>
                <w:r>
                  <w:t>49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right"/>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6"/>
      </w:rPr>
    </w:pPr>
    <w:r>
      <w:fldChar w:fldCharType="begin"/>
    </w:r>
    <w:r>
      <w:rPr>
        <w:rStyle w:val="26"/>
      </w:rPr>
      <w:instrText xml:space="preserve">PAGE  </w:instrText>
    </w:r>
    <w:r>
      <w:fldChar w:fldCharType="end"/>
    </w:r>
  </w:p>
  <w:p>
    <w:pPr>
      <w:pStyle w:val="1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6"/>
      </w:rPr>
    </w:pPr>
  </w:p>
  <w:p>
    <w:pPr>
      <w:pStyle w:val="18"/>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right"/>
      <w:rPr>
        <w:rFonts w:hint="eastAsia" w:eastAsia="宋体"/>
        <w:i/>
        <w:iCs/>
        <w:sz w:val="20"/>
        <w:szCs w:val="20"/>
        <w:lang w:eastAsia="zh-CN"/>
      </w:rPr>
    </w:pPr>
    <w:r>
      <w:rPr>
        <w:rFonts w:hint="eastAsia" w:eastAsia="宋体"/>
        <w:i/>
        <w:iCs/>
        <w:sz w:val="20"/>
        <w:szCs w:val="20"/>
        <w:lang w:eastAsia="zh-CN"/>
      </w:rPr>
      <w:t>山东省临沂卫生学校扩建项目图书信息综合楼电梯采购与安装项目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right"/>
      <w:rPr>
        <w:rFonts w:hint="eastAsia" w:eastAsia="宋体"/>
        <w:i/>
        <w:iCs/>
        <w:sz w:val="20"/>
        <w:szCs w:val="20"/>
        <w:lang w:eastAsia="zh-CN"/>
      </w:rPr>
    </w:pPr>
    <w:r>
      <w:rPr>
        <w:rFonts w:hint="eastAsia" w:eastAsia="宋体"/>
        <w:i/>
        <w:iCs/>
        <w:sz w:val="20"/>
        <w:szCs w:val="20"/>
        <w:lang w:eastAsia="zh-CN"/>
      </w:rPr>
      <w:t>山东省临沂卫生学校扩建项目图书信息综合楼电梯采购与安装项目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A4900"/>
    <w:multiLevelType w:val="singleLevel"/>
    <w:tmpl w:val="A71A4900"/>
    <w:lvl w:ilvl="0" w:tentative="0">
      <w:start w:val="22"/>
      <w:numFmt w:val="decimal"/>
      <w:lvlText w:val="%1."/>
      <w:lvlJc w:val="left"/>
      <w:pPr>
        <w:tabs>
          <w:tab w:val="left" w:pos="312"/>
        </w:tabs>
      </w:pPr>
    </w:lvl>
  </w:abstractNum>
  <w:abstractNum w:abstractNumId="1">
    <w:nsid w:val="FB205AC7"/>
    <w:multiLevelType w:val="singleLevel"/>
    <w:tmpl w:val="FB205AC7"/>
    <w:lvl w:ilvl="0" w:tentative="0">
      <w:start w:val="1"/>
      <w:numFmt w:val="decimal"/>
      <w:lvlText w:val="%1."/>
      <w:lvlJc w:val="left"/>
      <w:pPr>
        <w:tabs>
          <w:tab w:val="left" w:pos="312"/>
        </w:tabs>
      </w:pPr>
    </w:lvl>
  </w:abstractNum>
  <w:abstractNum w:abstractNumId="2">
    <w:nsid w:val="FB910BE8"/>
    <w:multiLevelType w:val="singleLevel"/>
    <w:tmpl w:val="FB910BE8"/>
    <w:lvl w:ilvl="0" w:tentative="0">
      <w:start w:val="1"/>
      <w:numFmt w:val="chineseCounting"/>
      <w:suff w:val="nothing"/>
      <w:lvlText w:val="%1、"/>
      <w:lvlJc w:val="left"/>
      <w:rPr>
        <w:rFonts w:hint="eastAsia"/>
      </w:rPr>
    </w:lvl>
  </w:abstractNum>
  <w:abstractNum w:abstractNumId="3">
    <w:nsid w:val="08D95F96"/>
    <w:multiLevelType w:val="singleLevel"/>
    <w:tmpl w:val="08D95F96"/>
    <w:lvl w:ilvl="0" w:tentative="0">
      <w:start w:val="1"/>
      <w:numFmt w:val="decimal"/>
      <w:suff w:val="space"/>
      <w:lvlText w:val="（%1）"/>
      <w:lvlJc w:val="left"/>
    </w:lvl>
  </w:abstractNum>
  <w:abstractNum w:abstractNumId="4">
    <w:nsid w:val="535EE45F"/>
    <w:multiLevelType w:val="singleLevel"/>
    <w:tmpl w:val="535EE45F"/>
    <w:lvl w:ilvl="0" w:tentative="0">
      <w:start w:val="2"/>
      <w:numFmt w:val="chineseCounting"/>
      <w:suff w:val="nothing"/>
      <w:lvlText w:val="%1、"/>
      <w:lvlJc w:val="left"/>
      <w:rPr>
        <w:rFonts w:hint="eastAsia"/>
      </w:rPr>
    </w:lvl>
  </w:abstractNum>
  <w:abstractNum w:abstractNumId="5">
    <w:nsid w:val="5AEF20D5"/>
    <w:multiLevelType w:val="singleLevel"/>
    <w:tmpl w:val="5AEF20D5"/>
    <w:lvl w:ilvl="0" w:tentative="0">
      <w:start w:val="9"/>
      <w:numFmt w:val="chineseCounting"/>
      <w:suff w:val="nothing"/>
      <w:lvlText w:val="%1、"/>
      <w:lvlJc w:val="left"/>
      <w:rPr>
        <w:rFonts w:hint="eastAsia"/>
      </w:rPr>
    </w:lvl>
  </w:abstractNum>
  <w:abstractNum w:abstractNumId="6">
    <w:nsid w:val="63C92253"/>
    <w:multiLevelType w:val="singleLevel"/>
    <w:tmpl w:val="63C92253"/>
    <w:lvl w:ilvl="0" w:tentative="0">
      <w:start w:val="1"/>
      <w:numFmt w:val="chineseCounting"/>
      <w:suff w:val="nothing"/>
      <w:lvlText w:val="%1、"/>
      <w:lvlJc w:val="left"/>
      <w:rPr>
        <w:rFonts w:hint="eastAsia"/>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3310A8"/>
    <w:rsid w:val="004101D0"/>
    <w:rsid w:val="00480DC4"/>
    <w:rsid w:val="00776927"/>
    <w:rsid w:val="00B35D78"/>
    <w:rsid w:val="00DB6A8B"/>
    <w:rsid w:val="01DE09E4"/>
    <w:rsid w:val="02010B44"/>
    <w:rsid w:val="02586596"/>
    <w:rsid w:val="02E77720"/>
    <w:rsid w:val="03346AF4"/>
    <w:rsid w:val="035D6648"/>
    <w:rsid w:val="036069FD"/>
    <w:rsid w:val="03B46AB7"/>
    <w:rsid w:val="03FF5503"/>
    <w:rsid w:val="04B601BE"/>
    <w:rsid w:val="04FC2E49"/>
    <w:rsid w:val="0564673B"/>
    <w:rsid w:val="06EE3AAC"/>
    <w:rsid w:val="06FE541F"/>
    <w:rsid w:val="07813CEC"/>
    <w:rsid w:val="085E17B5"/>
    <w:rsid w:val="08D57B8B"/>
    <w:rsid w:val="08EA4D18"/>
    <w:rsid w:val="08EF6973"/>
    <w:rsid w:val="09E73FAA"/>
    <w:rsid w:val="0ABA0CD8"/>
    <w:rsid w:val="0AF02B99"/>
    <w:rsid w:val="0AF66039"/>
    <w:rsid w:val="0B8D348A"/>
    <w:rsid w:val="0C594873"/>
    <w:rsid w:val="0CE74975"/>
    <w:rsid w:val="0D7B4EF4"/>
    <w:rsid w:val="0D807BCF"/>
    <w:rsid w:val="0E35404C"/>
    <w:rsid w:val="0E402CE6"/>
    <w:rsid w:val="0E6B7D34"/>
    <w:rsid w:val="0E826A92"/>
    <w:rsid w:val="0E842F93"/>
    <w:rsid w:val="107F441B"/>
    <w:rsid w:val="10F906AB"/>
    <w:rsid w:val="112B601F"/>
    <w:rsid w:val="11BB3FCF"/>
    <w:rsid w:val="11E614C7"/>
    <w:rsid w:val="1238529B"/>
    <w:rsid w:val="13B85934"/>
    <w:rsid w:val="13C93C1A"/>
    <w:rsid w:val="14F042D1"/>
    <w:rsid w:val="158223FC"/>
    <w:rsid w:val="15B57B04"/>
    <w:rsid w:val="15D20936"/>
    <w:rsid w:val="16445892"/>
    <w:rsid w:val="169933B7"/>
    <w:rsid w:val="16B76F39"/>
    <w:rsid w:val="17A41035"/>
    <w:rsid w:val="19580559"/>
    <w:rsid w:val="19DB2276"/>
    <w:rsid w:val="1AF03F92"/>
    <w:rsid w:val="1B0D0A48"/>
    <w:rsid w:val="1B186954"/>
    <w:rsid w:val="1CB27089"/>
    <w:rsid w:val="1D2B3F4F"/>
    <w:rsid w:val="1D7F35EC"/>
    <w:rsid w:val="1E793A75"/>
    <w:rsid w:val="1FEE17C1"/>
    <w:rsid w:val="20021DB1"/>
    <w:rsid w:val="207A5646"/>
    <w:rsid w:val="22411C50"/>
    <w:rsid w:val="22703AA6"/>
    <w:rsid w:val="227E4A0B"/>
    <w:rsid w:val="22C03829"/>
    <w:rsid w:val="24F4459A"/>
    <w:rsid w:val="25144EFE"/>
    <w:rsid w:val="258812B9"/>
    <w:rsid w:val="25FD59A5"/>
    <w:rsid w:val="27307CEE"/>
    <w:rsid w:val="27B42D44"/>
    <w:rsid w:val="27E77B0C"/>
    <w:rsid w:val="27F63164"/>
    <w:rsid w:val="27FF1197"/>
    <w:rsid w:val="29D848C6"/>
    <w:rsid w:val="2A88537A"/>
    <w:rsid w:val="2B3D70FB"/>
    <w:rsid w:val="2B5703A9"/>
    <w:rsid w:val="2B687816"/>
    <w:rsid w:val="2B9107C3"/>
    <w:rsid w:val="2C56587D"/>
    <w:rsid w:val="2C636E0B"/>
    <w:rsid w:val="2C7E3B32"/>
    <w:rsid w:val="2C9F25B1"/>
    <w:rsid w:val="2D194ED8"/>
    <w:rsid w:val="2D483F7E"/>
    <w:rsid w:val="2E0456C3"/>
    <w:rsid w:val="2EB62D0C"/>
    <w:rsid w:val="2FF231AE"/>
    <w:rsid w:val="30960EF2"/>
    <w:rsid w:val="30977BDA"/>
    <w:rsid w:val="30A33193"/>
    <w:rsid w:val="327A3CBD"/>
    <w:rsid w:val="329452CF"/>
    <w:rsid w:val="32F96FFF"/>
    <w:rsid w:val="33E05870"/>
    <w:rsid w:val="362D7E16"/>
    <w:rsid w:val="369E00E8"/>
    <w:rsid w:val="3749226C"/>
    <w:rsid w:val="37951209"/>
    <w:rsid w:val="37F60B54"/>
    <w:rsid w:val="390171A0"/>
    <w:rsid w:val="39EE7AC9"/>
    <w:rsid w:val="3A316CA7"/>
    <w:rsid w:val="3A333C6C"/>
    <w:rsid w:val="3A7A6D6D"/>
    <w:rsid w:val="3AA812C5"/>
    <w:rsid w:val="3B186203"/>
    <w:rsid w:val="3B2B02F1"/>
    <w:rsid w:val="3E170262"/>
    <w:rsid w:val="3F2907AF"/>
    <w:rsid w:val="3FA42544"/>
    <w:rsid w:val="3FBA64DD"/>
    <w:rsid w:val="3FEF4916"/>
    <w:rsid w:val="406350CC"/>
    <w:rsid w:val="406A425B"/>
    <w:rsid w:val="413D323B"/>
    <w:rsid w:val="41EE0C2A"/>
    <w:rsid w:val="420D12DF"/>
    <w:rsid w:val="42655BC3"/>
    <w:rsid w:val="42F4293E"/>
    <w:rsid w:val="43D70527"/>
    <w:rsid w:val="445050ED"/>
    <w:rsid w:val="44EB267A"/>
    <w:rsid w:val="45615531"/>
    <w:rsid w:val="45630280"/>
    <w:rsid w:val="45A64905"/>
    <w:rsid w:val="45F752F1"/>
    <w:rsid w:val="469A2933"/>
    <w:rsid w:val="46B84359"/>
    <w:rsid w:val="46D43654"/>
    <w:rsid w:val="46FA12A8"/>
    <w:rsid w:val="473B1526"/>
    <w:rsid w:val="47447B06"/>
    <w:rsid w:val="47AE13F9"/>
    <w:rsid w:val="47C00E02"/>
    <w:rsid w:val="47DB3DBE"/>
    <w:rsid w:val="487D15E8"/>
    <w:rsid w:val="49A85067"/>
    <w:rsid w:val="49CB5980"/>
    <w:rsid w:val="4AA50216"/>
    <w:rsid w:val="4AA8001C"/>
    <w:rsid w:val="4ACC2BCC"/>
    <w:rsid w:val="4AF149B7"/>
    <w:rsid w:val="4C905FB7"/>
    <w:rsid w:val="4E0B207E"/>
    <w:rsid w:val="515E4EBD"/>
    <w:rsid w:val="52695B10"/>
    <w:rsid w:val="53FC04F8"/>
    <w:rsid w:val="546A43F6"/>
    <w:rsid w:val="54E21C3C"/>
    <w:rsid w:val="553D452C"/>
    <w:rsid w:val="564404D9"/>
    <w:rsid w:val="569F257E"/>
    <w:rsid w:val="56E35094"/>
    <w:rsid w:val="57E92A01"/>
    <w:rsid w:val="58230ED0"/>
    <w:rsid w:val="5A000CEA"/>
    <w:rsid w:val="5A1B1000"/>
    <w:rsid w:val="5CDA78C5"/>
    <w:rsid w:val="5D19341B"/>
    <w:rsid w:val="5F3465C5"/>
    <w:rsid w:val="5F6E5A8B"/>
    <w:rsid w:val="61BF0A89"/>
    <w:rsid w:val="62BD27E3"/>
    <w:rsid w:val="62EC514D"/>
    <w:rsid w:val="63337DB0"/>
    <w:rsid w:val="63AB18E5"/>
    <w:rsid w:val="64C360F8"/>
    <w:rsid w:val="64CC2E6D"/>
    <w:rsid w:val="6628417B"/>
    <w:rsid w:val="667E7C74"/>
    <w:rsid w:val="66A958EB"/>
    <w:rsid w:val="670C0F83"/>
    <w:rsid w:val="686B523E"/>
    <w:rsid w:val="690B57BE"/>
    <w:rsid w:val="691372DC"/>
    <w:rsid w:val="692124F4"/>
    <w:rsid w:val="6951202D"/>
    <w:rsid w:val="69F754D1"/>
    <w:rsid w:val="6A7F45D4"/>
    <w:rsid w:val="6A8A618F"/>
    <w:rsid w:val="6B931939"/>
    <w:rsid w:val="6BC73EF4"/>
    <w:rsid w:val="6BDF0CB7"/>
    <w:rsid w:val="6CB628F2"/>
    <w:rsid w:val="6CCA061E"/>
    <w:rsid w:val="6D010083"/>
    <w:rsid w:val="6DDE7F1A"/>
    <w:rsid w:val="6E773656"/>
    <w:rsid w:val="6E9D3D73"/>
    <w:rsid w:val="6EBE70A6"/>
    <w:rsid w:val="6ED6017C"/>
    <w:rsid w:val="70AB141E"/>
    <w:rsid w:val="727629C7"/>
    <w:rsid w:val="72AD4954"/>
    <w:rsid w:val="731A554B"/>
    <w:rsid w:val="738A1307"/>
    <w:rsid w:val="73D30533"/>
    <w:rsid w:val="74177665"/>
    <w:rsid w:val="745371B2"/>
    <w:rsid w:val="76204ADB"/>
    <w:rsid w:val="76624D07"/>
    <w:rsid w:val="76A72099"/>
    <w:rsid w:val="76F72726"/>
    <w:rsid w:val="77736F9E"/>
    <w:rsid w:val="77B75160"/>
    <w:rsid w:val="77CC075F"/>
    <w:rsid w:val="785B5F88"/>
    <w:rsid w:val="78FC6F3C"/>
    <w:rsid w:val="79570D9C"/>
    <w:rsid w:val="7A050691"/>
    <w:rsid w:val="7A0E59FF"/>
    <w:rsid w:val="7A8A1E23"/>
    <w:rsid w:val="7AF8615C"/>
    <w:rsid w:val="7B034452"/>
    <w:rsid w:val="7B574E4C"/>
    <w:rsid w:val="7B624743"/>
    <w:rsid w:val="7BD43F9B"/>
    <w:rsid w:val="7C014A1C"/>
    <w:rsid w:val="7C4455EC"/>
    <w:rsid w:val="7CB553BF"/>
    <w:rsid w:val="7CE2517E"/>
    <w:rsid w:val="7D4A350F"/>
    <w:rsid w:val="7DA91420"/>
    <w:rsid w:val="7DB5675C"/>
    <w:rsid w:val="7DE23C8D"/>
    <w:rsid w:val="7E387814"/>
    <w:rsid w:val="7E867773"/>
    <w:rsid w:val="7F1768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1"/>
    <w:pPr>
      <w:ind w:left="1178"/>
      <w:outlineLvl w:val="0"/>
    </w:pPr>
    <w:rPr>
      <w:rFonts w:ascii="宋体" w:hAnsi="宋体" w:eastAsia="宋体"/>
      <w:b/>
      <w:bCs/>
      <w:sz w:val="36"/>
      <w:szCs w:val="36"/>
    </w:rPr>
  </w:style>
  <w:style w:type="paragraph" w:styleId="5">
    <w:name w:val="heading 2"/>
    <w:basedOn w:val="1"/>
    <w:next w:val="1"/>
    <w:qFormat/>
    <w:uiPriority w:val="1"/>
    <w:pPr>
      <w:ind w:left="1012"/>
      <w:outlineLvl w:val="1"/>
    </w:pPr>
    <w:rPr>
      <w:rFonts w:ascii="宋体" w:hAnsi="宋体" w:eastAsia="宋体"/>
      <w:b/>
      <w:bCs/>
      <w:sz w:val="32"/>
      <w:szCs w:val="32"/>
    </w:rPr>
  </w:style>
  <w:style w:type="paragraph" w:styleId="6">
    <w:name w:val="heading 3"/>
    <w:basedOn w:val="1"/>
    <w:next w:val="1"/>
    <w:qFormat/>
    <w:uiPriority w:val="1"/>
    <w:pPr>
      <w:ind w:left="115"/>
      <w:outlineLvl w:val="2"/>
    </w:pPr>
    <w:rPr>
      <w:rFonts w:ascii="宋体" w:hAnsi="宋体" w:eastAsia="宋体"/>
      <w:sz w:val="32"/>
      <w:szCs w:val="32"/>
    </w:rPr>
  </w:style>
  <w:style w:type="paragraph" w:styleId="7">
    <w:name w:val="heading 4"/>
    <w:basedOn w:val="1"/>
    <w:next w:val="1"/>
    <w:qFormat/>
    <w:uiPriority w:val="1"/>
    <w:pPr>
      <w:ind w:left="101"/>
      <w:outlineLvl w:val="3"/>
    </w:pPr>
    <w:rPr>
      <w:rFonts w:ascii="宋体" w:hAnsi="宋体" w:eastAsia="宋体"/>
      <w:b/>
      <w:bCs/>
      <w:sz w:val="30"/>
      <w:szCs w:val="30"/>
    </w:rPr>
  </w:style>
  <w:style w:type="paragraph" w:styleId="8">
    <w:name w:val="heading 5"/>
    <w:basedOn w:val="1"/>
    <w:next w:val="1"/>
    <w:qFormat/>
    <w:uiPriority w:val="1"/>
    <w:pPr>
      <w:spacing w:before="14"/>
      <w:ind w:left="3286"/>
      <w:outlineLvl w:val="4"/>
    </w:pPr>
    <w:rPr>
      <w:rFonts w:ascii="宋体" w:hAnsi="宋体" w:eastAsia="宋体"/>
      <w:b/>
      <w:bCs/>
      <w:sz w:val="28"/>
      <w:szCs w:val="28"/>
    </w:rPr>
  </w:style>
  <w:style w:type="paragraph" w:styleId="9">
    <w:name w:val="heading 6"/>
    <w:basedOn w:val="1"/>
    <w:next w:val="1"/>
    <w:qFormat/>
    <w:uiPriority w:val="1"/>
    <w:pPr>
      <w:spacing w:before="178"/>
      <w:ind w:left="118"/>
      <w:outlineLvl w:val="5"/>
    </w:pPr>
    <w:rPr>
      <w:rFonts w:ascii="宋体" w:hAnsi="宋体" w:eastAsia="宋体"/>
      <w:sz w:val="28"/>
      <w:szCs w:val="28"/>
    </w:rPr>
  </w:style>
  <w:style w:type="paragraph" w:styleId="10">
    <w:name w:val="heading 7"/>
    <w:basedOn w:val="1"/>
    <w:next w:val="1"/>
    <w:qFormat/>
    <w:uiPriority w:val="1"/>
    <w:pPr>
      <w:spacing w:before="34"/>
      <w:ind w:left="595"/>
      <w:outlineLvl w:val="6"/>
    </w:pPr>
    <w:rPr>
      <w:rFonts w:ascii="宋体" w:hAnsi="宋体" w:eastAsia="宋体"/>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154"/>
      <w:ind w:left="115"/>
    </w:pPr>
    <w:rPr>
      <w:rFonts w:ascii="宋体" w:hAnsi="宋体" w:eastAsia="宋体"/>
      <w:sz w:val="24"/>
      <w:szCs w:val="24"/>
    </w:rPr>
  </w:style>
  <w:style w:type="paragraph" w:customStyle="1" w:styleId="3">
    <w:name w:val="段"/>
    <w:next w:val="1"/>
    <w:qFormat/>
    <w:uiPriority w:val="0"/>
    <w:pPr>
      <w:autoSpaceDE w:val="0"/>
      <w:autoSpaceDN w:val="0"/>
      <w:spacing w:line="540" w:lineRule="exact"/>
      <w:ind w:firstLine="200" w:firstLineChars="200"/>
      <w:jc w:val="both"/>
    </w:pPr>
    <w:rPr>
      <w:rFonts w:ascii="宋体" w:hAnsi="Times New Roman" w:eastAsia="宋体" w:cs="Times New Roman"/>
      <w:sz w:val="21"/>
      <w:lang w:val="en-US" w:eastAsia="zh-CN" w:bidi="ar-SA"/>
    </w:rPr>
  </w:style>
  <w:style w:type="paragraph" w:styleId="11">
    <w:name w:val="Normal Indent"/>
    <w:basedOn w:val="1"/>
    <w:qFormat/>
    <w:uiPriority w:val="0"/>
    <w:pPr>
      <w:autoSpaceDE w:val="0"/>
      <w:autoSpaceDN w:val="0"/>
      <w:adjustRightInd w:val="0"/>
      <w:ind w:firstLine="420"/>
    </w:pPr>
    <w:rPr>
      <w:rFonts w:ascii="宋体"/>
      <w:sz w:val="24"/>
      <w:szCs w:val="20"/>
    </w:rPr>
  </w:style>
  <w:style w:type="paragraph" w:styleId="12">
    <w:name w:val="toa heading"/>
    <w:basedOn w:val="1"/>
    <w:next w:val="1"/>
    <w:qFormat/>
    <w:uiPriority w:val="99"/>
    <w:rPr>
      <w:rFonts w:ascii="Arial" w:hAnsi="Arial"/>
      <w:sz w:val="24"/>
    </w:rPr>
  </w:style>
  <w:style w:type="paragraph" w:styleId="13">
    <w:name w:val="Body Text Indent"/>
    <w:basedOn w:val="1"/>
    <w:next w:val="14"/>
    <w:qFormat/>
    <w:uiPriority w:val="0"/>
    <w:pPr>
      <w:spacing w:line="540" w:lineRule="exact"/>
      <w:ind w:firstLine="480" w:firstLineChars="200"/>
    </w:pPr>
    <w:rPr>
      <w:sz w:val="24"/>
    </w:rPr>
  </w:style>
  <w:style w:type="paragraph" w:customStyle="1" w:styleId="14">
    <w:name w:val="Style1"/>
    <w:basedOn w:val="1"/>
    <w:qFormat/>
    <w:uiPriority w:val="0"/>
    <w:pPr>
      <w:widowControl/>
      <w:tabs>
        <w:tab w:val="left" w:pos="-720"/>
      </w:tabs>
    </w:pPr>
    <w:rPr>
      <w:spacing w:val="-3"/>
      <w:sz w:val="24"/>
      <w:lang w:val="en-AU"/>
    </w:rPr>
  </w:style>
  <w:style w:type="paragraph" w:styleId="15">
    <w:name w:val="index 4"/>
    <w:basedOn w:val="1"/>
    <w:next w:val="1"/>
    <w:qFormat/>
    <w:uiPriority w:val="0"/>
    <w:pPr>
      <w:adjustRightInd w:val="0"/>
      <w:spacing w:line="360" w:lineRule="auto"/>
      <w:ind w:left="960" w:hanging="240"/>
      <w:textAlignment w:val="baseline"/>
    </w:pPr>
    <w:rPr>
      <w:rFonts w:ascii="Times New Roman" w:hAnsi="Times New Roman" w:eastAsia="宋体" w:cs="Times New Roman"/>
      <w:sz w:val="20"/>
    </w:rPr>
  </w:style>
  <w:style w:type="paragraph" w:styleId="16">
    <w:name w:val="Plain Text"/>
    <w:basedOn w:val="1"/>
    <w:qFormat/>
    <w:uiPriority w:val="0"/>
    <w:rPr>
      <w:rFonts w:ascii="宋体" w:hAnsi="Courier New"/>
      <w:szCs w:val="20"/>
    </w:rPr>
  </w:style>
  <w:style w:type="paragraph" w:styleId="17">
    <w:name w:val="Balloon Text"/>
    <w:basedOn w:val="1"/>
    <w:link w:val="39"/>
    <w:qFormat/>
    <w:uiPriority w:val="0"/>
    <w:rPr>
      <w:sz w:val="18"/>
      <w:szCs w:val="18"/>
    </w:rPr>
  </w:style>
  <w:style w:type="paragraph" w:styleId="18">
    <w:name w:val="footer"/>
    <w:basedOn w:val="1"/>
    <w:link w:val="40"/>
    <w:qFormat/>
    <w:uiPriority w:val="99"/>
    <w:pPr>
      <w:tabs>
        <w:tab w:val="center" w:pos="4153"/>
        <w:tab w:val="right" w:pos="8306"/>
      </w:tabs>
      <w:autoSpaceDE w:val="0"/>
      <w:autoSpaceDN w:val="0"/>
      <w:adjustRightInd w:val="0"/>
      <w:snapToGrid w:val="0"/>
    </w:pPr>
    <w:rPr>
      <w:rFonts w:ascii="宋体"/>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1"/>
    <w:pPr>
      <w:spacing w:before="162"/>
      <w:ind w:left="115"/>
    </w:pPr>
    <w:rPr>
      <w:rFonts w:ascii="宋体" w:hAnsi="宋体" w:eastAsia="宋体"/>
      <w:sz w:val="32"/>
      <w:szCs w:val="32"/>
    </w:rPr>
  </w:style>
  <w:style w:type="paragraph" w:styleId="21">
    <w:name w:val="Body Text First Indent"/>
    <w:basedOn w:val="2"/>
    <w:qFormat/>
    <w:uiPriority w:val="0"/>
    <w:pPr>
      <w:tabs>
        <w:tab w:val="left" w:pos="567"/>
      </w:tabs>
      <w:ind w:firstLine="420" w:firstLineChars="100"/>
    </w:pPr>
  </w:style>
  <w:style w:type="paragraph" w:styleId="22">
    <w:name w:val="Body Text First Indent 2"/>
    <w:basedOn w:val="13"/>
    <w:next w:val="21"/>
    <w:semiHidden/>
    <w:qFormat/>
    <w:uiPriority w:val="0"/>
    <w:pPr>
      <w:spacing w:after="120" w:line="240" w:lineRule="auto"/>
      <w:ind w:left="480" w:leftChars="200" w:firstLine="210" w:firstLineChars="100"/>
    </w:pPr>
    <w:rPr>
      <w:rFonts w:ascii="DFKai-SB" w:eastAsia="DFKai-SB"/>
      <w:spacing w:val="-8"/>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FollowedHyperlink"/>
    <w:basedOn w:val="25"/>
    <w:qFormat/>
    <w:uiPriority w:val="0"/>
    <w:rPr>
      <w:color w:val="800080"/>
      <w:u w:val="none"/>
    </w:rPr>
  </w:style>
  <w:style w:type="character" w:styleId="28">
    <w:name w:val="Hyperlink"/>
    <w:basedOn w:val="25"/>
    <w:qFormat/>
    <w:uiPriority w:val="0"/>
    <w:rPr>
      <w:color w:val="0000FF"/>
      <w:u w:val="none"/>
    </w:rPr>
  </w:style>
  <w:style w:type="paragraph" w:customStyle="1" w:styleId="29">
    <w:name w:val="样式 样式 左侧:  2 字符 + 左侧:  0.85 厘米 首行缩进:  2 字符1"/>
    <w:basedOn w:val="1"/>
    <w:qFormat/>
    <w:uiPriority w:val="0"/>
    <w:pPr>
      <w:ind w:left="482" w:firstLine="200" w:firstLineChars="200"/>
    </w:pPr>
    <w:rPr>
      <w:rFonts w:ascii="Times New Roman" w:hAnsi="Times New Roman" w:eastAsia="宋体" w:cs="宋体"/>
      <w:szCs w:val="20"/>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style>
  <w:style w:type="paragraph" w:customStyle="1" w:styleId="32">
    <w:name w:val="Table Paragraph"/>
    <w:basedOn w:val="1"/>
    <w:qFormat/>
    <w:uiPriority w:val="1"/>
  </w:style>
  <w:style w:type="paragraph" w:customStyle="1" w:styleId="33">
    <w:name w:val="列出段落1"/>
    <w:basedOn w:val="1"/>
    <w:qFormat/>
    <w:uiPriority w:val="99"/>
    <w:pPr>
      <w:widowControl/>
      <w:spacing w:before="100" w:beforeAutospacing="1" w:after="100" w:afterAutospacing="1" w:line="276" w:lineRule="auto"/>
    </w:pPr>
    <w:rPr>
      <w:rFonts w:ascii="宋体" w:hAnsi="宋体" w:cs="宋体"/>
      <w:sz w:val="24"/>
      <w:szCs w:val="24"/>
    </w:rPr>
  </w:style>
  <w:style w:type="character" w:customStyle="1" w:styleId="34">
    <w:name w:val="font21"/>
    <w:basedOn w:val="25"/>
    <w:qFormat/>
    <w:uiPriority w:val="0"/>
    <w:rPr>
      <w:rFonts w:hint="default" w:ascii="Tahoma" w:hAnsi="Tahoma" w:eastAsia="Tahoma" w:cs="Tahoma"/>
      <w:color w:val="000000"/>
      <w:sz w:val="22"/>
      <w:szCs w:val="22"/>
      <w:u w:val="none"/>
    </w:rPr>
  </w:style>
  <w:style w:type="character" w:customStyle="1" w:styleId="35">
    <w:name w:val="font01"/>
    <w:basedOn w:val="25"/>
    <w:qFormat/>
    <w:uiPriority w:val="0"/>
    <w:rPr>
      <w:rFonts w:hint="eastAsia" w:ascii="宋体" w:hAnsi="宋体" w:eastAsia="宋体" w:cs="宋体"/>
      <w:color w:val="000000"/>
      <w:sz w:val="22"/>
      <w:szCs w:val="22"/>
      <w:u w:val="none"/>
    </w:rPr>
  </w:style>
  <w:style w:type="character" w:customStyle="1" w:styleId="36">
    <w:name w:val="font131"/>
    <w:basedOn w:val="25"/>
    <w:qFormat/>
    <w:uiPriority w:val="0"/>
    <w:rPr>
      <w:rFonts w:ascii="Calibri" w:hAnsi="Calibri" w:cs="Calibri"/>
      <w:color w:val="000000"/>
      <w:sz w:val="21"/>
      <w:szCs w:val="21"/>
      <w:u w:val="none"/>
    </w:rPr>
  </w:style>
  <w:style w:type="character" w:customStyle="1" w:styleId="37">
    <w:name w:val="font141"/>
    <w:basedOn w:val="25"/>
    <w:qFormat/>
    <w:uiPriority w:val="0"/>
    <w:rPr>
      <w:rFonts w:hint="eastAsia" w:ascii="宋体" w:hAnsi="宋体" w:eastAsia="宋体" w:cs="宋体"/>
      <w:color w:val="000000"/>
      <w:sz w:val="21"/>
      <w:szCs w:val="21"/>
      <w:u w:val="none"/>
    </w:rPr>
  </w:style>
  <w:style w:type="paragraph" w:customStyle="1" w:styleId="38">
    <w:name w:val="正文缩进1"/>
    <w:basedOn w:val="1"/>
    <w:qFormat/>
    <w:uiPriority w:val="0"/>
    <w:pPr>
      <w:autoSpaceDE w:val="0"/>
      <w:autoSpaceDN w:val="0"/>
      <w:adjustRightInd w:val="0"/>
      <w:ind w:firstLine="420"/>
    </w:pPr>
    <w:rPr>
      <w:rFonts w:ascii="宋体"/>
      <w:sz w:val="24"/>
      <w:szCs w:val="20"/>
    </w:rPr>
  </w:style>
  <w:style w:type="character" w:customStyle="1" w:styleId="39">
    <w:name w:val="批注框文本 Char"/>
    <w:basedOn w:val="25"/>
    <w:link w:val="17"/>
    <w:qFormat/>
    <w:uiPriority w:val="0"/>
    <w:rPr>
      <w:rFonts w:asciiTheme="minorHAnsi" w:hAnsiTheme="minorHAnsi" w:eastAsiaTheme="minorHAnsi" w:cstheme="minorBidi"/>
      <w:sz w:val="18"/>
      <w:szCs w:val="18"/>
      <w:lang w:eastAsia="en-US"/>
    </w:rPr>
  </w:style>
  <w:style w:type="character" w:customStyle="1" w:styleId="40">
    <w:name w:val="页脚 Char"/>
    <w:basedOn w:val="25"/>
    <w:link w:val="18"/>
    <w:qFormat/>
    <w:uiPriority w:val="99"/>
    <w:rPr>
      <w:rFonts w:ascii="宋体" w:hAnsiTheme="minorHAnsi" w:eastAsiaTheme="minorHAnsi" w:cstheme="minorBidi"/>
      <w:sz w:val="18"/>
      <w:lang w:eastAsia="en-US"/>
    </w:rPr>
  </w:style>
  <w:style w:type="paragraph" w:customStyle="1" w:styleId="41">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42">
    <w:name w:val="font41"/>
    <w:basedOn w:val="25"/>
    <w:qFormat/>
    <w:uiPriority w:val="0"/>
    <w:rPr>
      <w:rFonts w:hint="eastAsia" w:ascii="仿宋" w:hAnsi="仿宋" w:eastAsia="仿宋" w:cs="仿宋"/>
      <w:b/>
      <w:bCs/>
      <w:color w:val="000000"/>
      <w:sz w:val="20"/>
      <w:szCs w:val="20"/>
      <w:u w:val="none"/>
    </w:rPr>
  </w:style>
  <w:style w:type="paragraph" w:customStyle="1" w:styleId="43">
    <w:name w:val="首行缩进"/>
    <w:basedOn w:val="1"/>
    <w:qFormat/>
    <w:uiPriority w:val="0"/>
    <w:pPr>
      <w:spacing w:line="360" w:lineRule="auto"/>
      <w:ind w:firstLine="480" w:firstLineChars="200"/>
    </w:pPr>
    <w:rPr>
      <w:rFonts w:ascii="宋体" w:hAnsi="宋体" w:cs="宋体"/>
      <w:kern w:val="0"/>
    </w:rPr>
  </w:style>
  <w:style w:type="character" w:customStyle="1" w:styleId="44">
    <w:name w:val="font31"/>
    <w:basedOn w:val="25"/>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6836</Words>
  <Characters>38967</Characters>
  <Lines>324</Lines>
  <Paragraphs>91</Paragraphs>
  <TotalTime>14</TotalTime>
  <ScaleCrop>false</ScaleCrop>
  <LinksUpToDate>false</LinksUpToDate>
  <CharactersWithSpaces>45712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2021-05-17T15:22:00Z</dcterms:created>
  <dc:creator>Administrator</dc:creator>
  <cp:lastModifiedBy>NTKO</cp:lastModifiedBy>
  <dcterms:modified xsi:type="dcterms:W3CDTF">2021-09-15T02:13:04Z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WPS 文字</vt:lpwstr>
  </property>
  <property fmtid="{D5CDD505-2E9C-101B-9397-08002B2CF9AE}" pid="4" name="LastSaved">
    <vt:filetime>2021-05-17T00:00:00Z</vt:filetime>
  </property>
  <property fmtid="{D5CDD505-2E9C-101B-9397-08002B2CF9AE}" pid="5" name="KSOProductBuildVer">
    <vt:lpwstr>2052-11.1.0.10700</vt:lpwstr>
  </property>
  <property fmtid="{D5CDD505-2E9C-101B-9397-08002B2CF9AE}" pid="6" name="ICV">
    <vt:lpwstr>9192B097C0954C55BA9D1B336AAB81D0</vt:lpwstr>
  </property>
</Properties>
</file>