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jc w:val="both"/>
        <w:rPr>
          <w:rFonts w:ascii="宋体" w:hAnsi="宋体" w:cs="宋体"/>
          <w:bCs/>
          <w:color w:val="auto"/>
          <w:kern w:val="0"/>
          <w:sz w:val="48"/>
          <w:szCs w:val="48"/>
          <w:highlight w:val="none"/>
        </w:rPr>
      </w:pPr>
    </w:p>
    <w:p>
      <w:pPr>
        <w:widowControl/>
        <w:adjustRightInd w:val="0"/>
        <w:ind w:right="323"/>
        <w:jc w:val="center"/>
        <w:rPr>
          <w:rFonts w:asciiTheme="minorEastAsia" w:hAnsiTheme="minorEastAsia" w:eastAsiaTheme="minorEastAsia" w:cstheme="minorEastAsia"/>
          <w:b/>
          <w:bCs/>
          <w:color w:val="auto"/>
          <w:sz w:val="44"/>
          <w:szCs w:val="44"/>
          <w:highlight w:val="none"/>
        </w:rPr>
      </w:pPr>
    </w:p>
    <w:p>
      <w:pPr>
        <w:widowControl/>
        <w:adjustRightInd w:val="0"/>
        <w:ind w:right="323"/>
        <w:jc w:val="center"/>
        <w:rPr>
          <w:rFonts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lang w:val="en-US" w:eastAsia="zh-CN"/>
        </w:rPr>
        <w:t xml:space="preserve"> </w:t>
      </w:r>
      <w:r>
        <w:rPr>
          <w:rFonts w:hint="eastAsia" w:asciiTheme="minorEastAsia" w:hAnsiTheme="minorEastAsia" w:eastAsiaTheme="minorEastAsia" w:cstheme="minorEastAsia"/>
          <w:b/>
          <w:bCs/>
          <w:color w:val="auto"/>
          <w:sz w:val="44"/>
          <w:szCs w:val="44"/>
          <w:highlight w:val="none"/>
          <w:lang w:eastAsia="zh-CN"/>
        </w:rPr>
        <w:t>山东省临沂卫生学校</w:t>
      </w:r>
      <w:r>
        <w:rPr>
          <w:rFonts w:hint="eastAsia" w:asciiTheme="minorEastAsia" w:hAnsiTheme="minorEastAsia" w:eastAsiaTheme="minorEastAsia" w:cstheme="minorEastAsia"/>
          <w:b/>
          <w:bCs/>
          <w:color w:val="auto"/>
          <w:sz w:val="44"/>
          <w:szCs w:val="44"/>
          <w:highlight w:val="none"/>
        </w:rPr>
        <w:t>扩建项目图书信息</w:t>
      </w:r>
    </w:p>
    <w:p>
      <w:pPr>
        <w:widowControl/>
        <w:adjustRightInd w:val="0"/>
        <w:ind w:right="323"/>
        <w:jc w:val="center"/>
        <w:rPr>
          <w:rFonts w:hint="eastAsia" w:asciiTheme="minorEastAsia" w:hAnsiTheme="minorEastAsia" w:eastAsiaTheme="minorEastAsia" w:cstheme="minorEastAsia"/>
          <w:b/>
          <w:bCs/>
          <w:color w:val="auto"/>
          <w:sz w:val="48"/>
          <w:szCs w:val="48"/>
          <w:highlight w:val="none"/>
          <w:lang w:eastAsia="zh-CN"/>
        </w:rPr>
      </w:pPr>
      <w:r>
        <w:rPr>
          <w:rFonts w:hint="eastAsia" w:asciiTheme="minorEastAsia" w:hAnsiTheme="minorEastAsia" w:eastAsiaTheme="minorEastAsia" w:cstheme="minorEastAsia"/>
          <w:b/>
          <w:bCs/>
          <w:color w:val="auto"/>
          <w:sz w:val="44"/>
          <w:szCs w:val="44"/>
          <w:highlight w:val="none"/>
          <w:lang w:val="en-US" w:eastAsia="zh-CN"/>
        </w:rPr>
        <w:t xml:space="preserve"> </w:t>
      </w:r>
      <w:r>
        <w:rPr>
          <w:rFonts w:hint="eastAsia" w:asciiTheme="minorEastAsia" w:hAnsiTheme="minorEastAsia" w:eastAsiaTheme="minorEastAsia" w:cstheme="minorEastAsia"/>
          <w:b/>
          <w:bCs/>
          <w:color w:val="auto"/>
          <w:sz w:val="44"/>
          <w:szCs w:val="44"/>
          <w:highlight w:val="none"/>
        </w:rPr>
        <w:t>综合楼工程</w:t>
      </w:r>
      <w:r>
        <w:rPr>
          <w:rFonts w:hint="eastAsia" w:asciiTheme="minorEastAsia" w:hAnsiTheme="minorEastAsia" w:eastAsiaTheme="minorEastAsia" w:cstheme="minorEastAsia"/>
          <w:b/>
          <w:bCs/>
          <w:color w:val="auto"/>
          <w:sz w:val="44"/>
          <w:szCs w:val="44"/>
          <w:highlight w:val="none"/>
          <w:lang w:eastAsia="zh-CN"/>
        </w:rPr>
        <w:t>-YT保温采购项目</w:t>
      </w:r>
    </w:p>
    <w:p>
      <w:pPr>
        <w:widowControl/>
        <w:adjustRightInd w:val="0"/>
        <w:ind w:right="323"/>
        <w:jc w:val="center"/>
        <w:rPr>
          <w:rFonts w:hint="default" w:ascii="黑体" w:eastAsia="黑体"/>
          <w:b/>
          <w:color w:val="auto"/>
          <w:sz w:val="96"/>
          <w:szCs w:val="96"/>
          <w:highlight w:val="none"/>
          <w:lang w:val="en-US"/>
        </w:rPr>
      </w:pPr>
      <w:r>
        <w:rPr>
          <w:rFonts w:ascii="宋体" w:hAnsi="宋体"/>
          <w:b/>
          <w:color w:val="auto"/>
          <w:sz w:val="56"/>
          <w:szCs w:val="36"/>
          <w:highlight w:val="none"/>
        </w:rPr>
        <w:pict>
          <v:shape id="_x0000_s1028" o:spid="_x0000_s1028" o:spt="136" type="#_x0000_t136" style="position:absolute;left:0pt;margin-left:31.4pt;margin-top:33.6pt;height:102.4pt;width:350.2pt;z-index:251659264;mso-width-relative:page;mso-height-relative:page;" fillcolor="#000000" filled="t" stroked="t" coordsize="21600,21600">
            <v:path/>
            <v:fill on="t" focussize="0,0"/>
            <v:stroke weight="1pt" color="#000080"/>
            <v:imagedata o:title=""/>
            <o:lock v:ext="edit"/>
            <v:textpath on="t" fitshape="t" fitpath="t" trim="t" xscale="f" string="竞争性磋商文件" style="font-family:宋体;font-size:48pt;v-text-align:center;"/>
            <v:shadow on="t" color="#990000"/>
          </v:shape>
        </w:pict>
      </w:r>
    </w:p>
    <w:p>
      <w:pPr>
        <w:spacing w:line="440" w:lineRule="exact"/>
        <w:jc w:val="center"/>
        <w:rPr>
          <w:color w:val="auto"/>
          <w:sz w:val="32"/>
          <w:szCs w:val="32"/>
          <w:highlight w:val="none"/>
        </w:rPr>
      </w:pPr>
    </w:p>
    <w:p>
      <w:pPr>
        <w:pStyle w:val="24"/>
        <w:ind w:firstLine="640"/>
        <w:rPr>
          <w:color w:val="auto"/>
          <w:sz w:val="32"/>
          <w:szCs w:val="32"/>
          <w:highlight w:val="none"/>
        </w:rPr>
      </w:pPr>
    </w:p>
    <w:p>
      <w:pPr>
        <w:pStyle w:val="24"/>
        <w:ind w:firstLine="640"/>
        <w:rPr>
          <w:color w:val="auto"/>
          <w:sz w:val="32"/>
          <w:szCs w:val="32"/>
          <w:highlight w:val="none"/>
        </w:rPr>
      </w:pPr>
    </w:p>
    <w:p>
      <w:pPr>
        <w:pStyle w:val="24"/>
        <w:ind w:firstLine="640"/>
        <w:rPr>
          <w:color w:val="auto"/>
          <w:sz w:val="32"/>
          <w:szCs w:val="32"/>
          <w:highlight w:val="none"/>
        </w:rPr>
      </w:pPr>
    </w:p>
    <w:p>
      <w:pPr>
        <w:spacing w:line="440" w:lineRule="exact"/>
        <w:jc w:val="center"/>
        <w:rPr>
          <w:rFonts w:hint="eastAsia" w:eastAsia="宋体"/>
          <w:color w:val="auto"/>
          <w:sz w:val="40"/>
          <w:szCs w:val="40"/>
          <w:highlight w:val="none"/>
          <w:lang w:val="en-US" w:eastAsia="zh-CN"/>
        </w:rPr>
      </w:pPr>
      <w:r>
        <w:rPr>
          <w:rFonts w:hint="eastAsia"/>
          <w:color w:val="auto"/>
          <w:sz w:val="40"/>
          <w:szCs w:val="40"/>
          <w:highlight w:val="none"/>
        </w:rPr>
        <w:t>项目编号：</w:t>
      </w:r>
      <w:r>
        <w:rPr>
          <w:rFonts w:hint="eastAsia"/>
          <w:color w:val="auto"/>
          <w:sz w:val="40"/>
          <w:szCs w:val="40"/>
          <w:highlight w:val="none"/>
          <w:lang w:eastAsia="zh-CN"/>
        </w:rPr>
        <w:t>SDHFCG-2021018</w:t>
      </w:r>
    </w:p>
    <w:p>
      <w:pPr>
        <w:spacing w:line="600" w:lineRule="exact"/>
        <w:rPr>
          <w:rFonts w:ascii="宋体" w:hAnsi="宋体"/>
          <w:color w:val="auto"/>
          <w:sz w:val="36"/>
          <w:szCs w:val="21"/>
          <w:highlight w:val="none"/>
        </w:rPr>
      </w:pPr>
    </w:p>
    <w:p>
      <w:pPr>
        <w:spacing w:line="600" w:lineRule="exact"/>
        <w:ind w:left="2417" w:leftChars="299" w:hanging="1789" w:hangingChars="495"/>
        <w:rPr>
          <w:rFonts w:ascii="宋体" w:hAnsi="宋体"/>
          <w:b/>
          <w:color w:val="auto"/>
          <w:sz w:val="36"/>
          <w:szCs w:val="21"/>
          <w:highlight w:val="none"/>
        </w:rPr>
      </w:pPr>
    </w:p>
    <w:p>
      <w:pPr>
        <w:spacing w:line="600" w:lineRule="exact"/>
        <w:ind w:left="2417" w:leftChars="299" w:hanging="1789" w:hangingChars="495"/>
        <w:rPr>
          <w:rFonts w:ascii="宋体" w:hAnsi="宋体"/>
          <w:b/>
          <w:color w:val="auto"/>
          <w:sz w:val="36"/>
          <w:szCs w:val="21"/>
          <w:highlight w:val="none"/>
        </w:rPr>
      </w:pPr>
    </w:p>
    <w:p>
      <w:pPr>
        <w:spacing w:line="600" w:lineRule="exact"/>
        <w:rPr>
          <w:rFonts w:ascii="宋体" w:hAnsi="宋体"/>
          <w:b/>
          <w:color w:val="auto"/>
          <w:sz w:val="36"/>
          <w:szCs w:val="21"/>
          <w:highlight w:val="none"/>
        </w:rPr>
      </w:pPr>
    </w:p>
    <w:p>
      <w:pPr>
        <w:spacing w:line="600" w:lineRule="exact"/>
        <w:ind w:left="2417" w:leftChars="299" w:hanging="1789" w:hangingChars="495"/>
        <w:rPr>
          <w:rFonts w:ascii="宋体" w:hAnsi="宋体"/>
          <w:b/>
          <w:color w:val="auto"/>
          <w:sz w:val="36"/>
          <w:szCs w:val="21"/>
          <w:highlight w:val="none"/>
        </w:rPr>
      </w:pPr>
    </w:p>
    <w:p>
      <w:pPr>
        <w:spacing w:line="600" w:lineRule="exact"/>
        <w:rPr>
          <w:rFonts w:ascii="宋体" w:hAnsi="宋体"/>
          <w:b/>
          <w:color w:val="auto"/>
          <w:sz w:val="36"/>
          <w:szCs w:val="21"/>
          <w:highlight w:val="none"/>
        </w:rPr>
      </w:pPr>
    </w:p>
    <w:p>
      <w:pPr>
        <w:spacing w:line="600" w:lineRule="exact"/>
        <w:rPr>
          <w:rFonts w:ascii="宋体" w:hAnsi="宋体"/>
          <w:b/>
          <w:color w:val="auto"/>
          <w:sz w:val="36"/>
          <w:szCs w:val="21"/>
          <w:highlight w:val="none"/>
        </w:rPr>
      </w:pPr>
    </w:p>
    <w:p>
      <w:pPr>
        <w:spacing w:line="600" w:lineRule="exact"/>
        <w:ind w:firstLine="1800" w:firstLineChars="500"/>
        <w:jc w:val="both"/>
        <w:rPr>
          <w:rFonts w:hint="eastAsia" w:ascii="宋体" w:hAnsi="宋体" w:eastAsia="宋体"/>
          <w:b/>
          <w:color w:val="auto"/>
          <w:sz w:val="28"/>
          <w:szCs w:val="28"/>
          <w:highlight w:val="none"/>
          <w:u w:val="single"/>
          <w:lang w:eastAsia="zh-CN"/>
        </w:rPr>
      </w:pPr>
      <w:r>
        <w:rPr>
          <w:rFonts w:hint="eastAsia" w:asciiTheme="minorEastAsia" w:hAnsiTheme="minorEastAsia" w:eastAsiaTheme="minorEastAsia" w:cstheme="minorEastAsia"/>
          <w:color w:val="auto"/>
          <w:sz w:val="36"/>
          <w:szCs w:val="36"/>
          <w:highlight w:val="none"/>
          <w:lang w:val="en-US" w:eastAsia="zh-CN"/>
        </w:rPr>
        <w:t>建设单位</w:t>
      </w:r>
      <w:r>
        <w:rPr>
          <w:rFonts w:hint="eastAsia" w:asciiTheme="minorEastAsia" w:hAnsiTheme="minorEastAsia" w:eastAsiaTheme="minorEastAsia" w:cstheme="minorEastAsia"/>
          <w:color w:val="auto"/>
          <w:sz w:val="36"/>
          <w:szCs w:val="36"/>
          <w:highlight w:val="none"/>
        </w:rPr>
        <w:t>：</w:t>
      </w:r>
      <w:r>
        <w:rPr>
          <w:rFonts w:hint="eastAsia" w:asciiTheme="minorEastAsia" w:hAnsiTheme="minorEastAsia" w:eastAsiaTheme="minorEastAsia" w:cstheme="minorEastAsia"/>
          <w:color w:val="auto"/>
          <w:sz w:val="36"/>
          <w:szCs w:val="36"/>
          <w:highlight w:val="none"/>
          <w:lang w:eastAsia="zh-CN"/>
        </w:rPr>
        <w:t>天元建设集团有限公司</w:t>
      </w:r>
    </w:p>
    <w:p>
      <w:pPr>
        <w:ind w:firstLine="1800" w:firstLineChars="500"/>
        <w:rPr>
          <w:rFonts w:asciiTheme="minorEastAsia" w:hAnsiTheme="minorEastAsia" w:eastAsiaTheme="minorEastAsia" w:cstheme="minorEastAsia"/>
          <w:color w:val="auto"/>
          <w:sz w:val="36"/>
          <w:szCs w:val="36"/>
          <w:highlight w:val="none"/>
        </w:rPr>
      </w:pPr>
      <w:r>
        <w:rPr>
          <w:rFonts w:hint="eastAsia" w:asciiTheme="minorEastAsia" w:hAnsiTheme="minorEastAsia" w:eastAsiaTheme="minorEastAsia" w:cstheme="minorEastAsia"/>
          <w:color w:val="auto"/>
          <w:sz w:val="36"/>
          <w:szCs w:val="36"/>
          <w:highlight w:val="none"/>
        </w:rPr>
        <w:t>代理机构：山东华方项目管理有限公司</w:t>
      </w:r>
    </w:p>
    <w:p>
      <w:pPr>
        <w:rPr>
          <w:rFonts w:ascii="宋体" w:hAnsi="宋体"/>
          <w:b/>
          <w:color w:val="auto"/>
          <w:sz w:val="48"/>
          <w:szCs w:val="48"/>
          <w:highlight w:val="none"/>
        </w:rPr>
        <w:sectPr>
          <w:footerReference r:id="rId3" w:type="default"/>
          <w:pgSz w:w="11906" w:h="16838"/>
          <w:pgMar w:top="1440" w:right="1701" w:bottom="1440" w:left="1701" w:header="851" w:footer="992" w:gutter="0"/>
          <w:cols w:space="425" w:num="1"/>
          <w:docGrid w:type="lines" w:linePitch="312" w:charSpace="0"/>
        </w:sectPr>
      </w:pPr>
      <w:r>
        <w:rPr>
          <w:rFonts w:hint="eastAsia" w:asciiTheme="minorEastAsia" w:hAnsiTheme="minorEastAsia" w:eastAsiaTheme="minorEastAsia" w:cstheme="minorEastAsia"/>
          <w:color w:val="auto"/>
          <w:sz w:val="36"/>
          <w:szCs w:val="36"/>
          <w:highlight w:val="none"/>
        </w:rPr>
        <w:t xml:space="preserve">         </w:t>
      </w:r>
      <w:r>
        <w:rPr>
          <w:rFonts w:hint="eastAsia" w:asciiTheme="minorEastAsia" w:hAnsiTheme="minorEastAsia" w:eastAsiaTheme="minorEastAsia" w:cstheme="minorEastAsia"/>
          <w:color w:val="auto"/>
          <w:sz w:val="36"/>
          <w:szCs w:val="36"/>
          <w:highlight w:val="none"/>
          <w:lang w:val="en-US" w:eastAsia="zh-CN"/>
        </w:rPr>
        <w:t xml:space="preserve"> </w:t>
      </w:r>
      <w:r>
        <w:rPr>
          <w:rFonts w:hint="eastAsia" w:asciiTheme="minorEastAsia" w:hAnsiTheme="minorEastAsia" w:eastAsiaTheme="minorEastAsia" w:cstheme="minorEastAsia"/>
          <w:color w:val="auto"/>
          <w:sz w:val="36"/>
          <w:szCs w:val="36"/>
          <w:highlight w:val="none"/>
        </w:rPr>
        <w:t>日    期：二〇二一年</w:t>
      </w:r>
      <w:r>
        <w:rPr>
          <w:rFonts w:hint="eastAsia" w:asciiTheme="minorEastAsia" w:hAnsiTheme="minorEastAsia" w:eastAsiaTheme="minorEastAsia" w:cstheme="minorEastAsia"/>
          <w:color w:val="auto"/>
          <w:sz w:val="36"/>
          <w:szCs w:val="36"/>
          <w:highlight w:val="none"/>
          <w:lang w:val="en-US" w:eastAsia="zh-CN"/>
        </w:rPr>
        <w:t>十</w:t>
      </w:r>
      <w:r>
        <w:rPr>
          <w:rFonts w:hint="eastAsia" w:asciiTheme="minorEastAsia" w:hAnsiTheme="minorEastAsia" w:eastAsiaTheme="minorEastAsia" w:cstheme="minorEastAsia"/>
          <w:color w:val="auto"/>
          <w:sz w:val="36"/>
          <w:szCs w:val="36"/>
          <w:highlight w:val="none"/>
        </w:rPr>
        <w:t>月</w:t>
      </w:r>
    </w:p>
    <w:p>
      <w:pPr>
        <w:spacing w:before="100" w:beforeAutospacing="1" w:after="100" w:afterAutospacing="1" w:line="360" w:lineRule="auto"/>
        <w:rPr>
          <w:rFonts w:ascii="宋体" w:hAnsi="宋体"/>
          <w:b/>
          <w:color w:val="auto"/>
          <w:sz w:val="48"/>
          <w:szCs w:val="48"/>
          <w:highlight w:val="none"/>
        </w:rPr>
      </w:pPr>
    </w:p>
    <w:p>
      <w:pPr>
        <w:spacing w:before="100" w:beforeAutospacing="1" w:after="100" w:afterAutospacing="1" w:line="360" w:lineRule="auto"/>
        <w:jc w:val="center"/>
        <w:rPr>
          <w:rFonts w:ascii="宋体" w:hAnsi="宋体"/>
          <w:b/>
          <w:color w:val="auto"/>
          <w:sz w:val="48"/>
          <w:szCs w:val="48"/>
          <w:highlight w:val="none"/>
        </w:rPr>
      </w:pPr>
      <w:r>
        <w:rPr>
          <w:rFonts w:hint="eastAsia" w:ascii="宋体" w:hAnsi="宋体"/>
          <w:b/>
          <w:color w:val="auto"/>
          <w:sz w:val="48"/>
          <w:szCs w:val="48"/>
          <w:highlight w:val="none"/>
        </w:rPr>
        <w:t>目  录</w:t>
      </w:r>
    </w:p>
    <w:p>
      <w:pPr>
        <w:spacing w:line="360" w:lineRule="auto"/>
        <w:jc w:val="center"/>
        <w:rPr>
          <w:rFonts w:ascii="宋体" w:hAnsi="宋体"/>
          <w:b/>
          <w:color w:val="auto"/>
          <w:sz w:val="40"/>
          <w:szCs w:val="21"/>
          <w:highlight w:val="none"/>
        </w:rPr>
      </w:pPr>
    </w:p>
    <w:p>
      <w:pPr>
        <w:pStyle w:val="12"/>
        <w:tabs>
          <w:tab w:val="right" w:leader="dot" w:pos="9070"/>
        </w:tabs>
        <w:rPr>
          <w:color w:val="auto"/>
          <w:sz w:val="28"/>
          <w:szCs w:val="28"/>
          <w:highlight w:val="none"/>
        </w:rPr>
      </w:pPr>
      <w:r>
        <w:rPr>
          <w:rFonts w:ascii="宋体" w:hAnsi="宋体"/>
          <w:color w:val="auto"/>
          <w:sz w:val="52"/>
          <w:szCs w:val="52"/>
          <w:highlight w:val="none"/>
        </w:rPr>
        <w:fldChar w:fldCharType="begin" w:fldLock="1"/>
      </w:r>
      <w:r>
        <w:rPr>
          <w:rFonts w:ascii="宋体" w:hAnsi="宋体"/>
          <w:color w:val="auto"/>
          <w:sz w:val="52"/>
          <w:szCs w:val="52"/>
          <w:highlight w:val="none"/>
        </w:rPr>
        <w:instrText xml:space="preserve"> TOC \o "1-3" \h \z \u </w:instrText>
      </w:r>
      <w:r>
        <w:rPr>
          <w:rFonts w:ascii="宋体" w:hAnsi="宋体"/>
          <w:color w:val="auto"/>
          <w:sz w:val="52"/>
          <w:szCs w:val="52"/>
          <w:highlight w:val="none"/>
        </w:rPr>
        <w:fldChar w:fldCharType="separate"/>
      </w:r>
      <w:r>
        <w:rPr>
          <w:color w:val="auto"/>
          <w:highlight w:val="none"/>
        </w:rPr>
        <w:fldChar w:fldCharType="begin"/>
      </w:r>
      <w:r>
        <w:rPr>
          <w:color w:val="auto"/>
          <w:highlight w:val="none"/>
        </w:rPr>
        <w:instrText xml:space="preserve"> HYPERLINK \l "_Toc23828" </w:instrText>
      </w:r>
      <w:r>
        <w:rPr>
          <w:color w:val="auto"/>
          <w:highlight w:val="none"/>
        </w:rPr>
        <w:fldChar w:fldCharType="separate"/>
      </w:r>
      <w:r>
        <w:rPr>
          <w:rFonts w:hint="eastAsia"/>
          <w:color w:val="auto"/>
          <w:kern w:val="44"/>
          <w:sz w:val="28"/>
          <w:szCs w:val="28"/>
          <w:highlight w:val="none"/>
        </w:rPr>
        <w:t>第一章  竞争性磋商公告</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p>
    <w:p>
      <w:pPr>
        <w:pStyle w:val="12"/>
        <w:tabs>
          <w:tab w:val="right" w:leader="dot" w:pos="9070"/>
        </w:tabs>
        <w:rPr>
          <w:color w:val="auto"/>
          <w:sz w:val="28"/>
          <w:szCs w:val="28"/>
          <w:highlight w:val="none"/>
        </w:rPr>
      </w:pPr>
      <w:r>
        <w:rPr>
          <w:color w:val="auto"/>
          <w:highlight w:val="none"/>
        </w:rPr>
        <w:fldChar w:fldCharType="begin"/>
      </w:r>
      <w:r>
        <w:rPr>
          <w:color w:val="auto"/>
          <w:highlight w:val="none"/>
        </w:rPr>
        <w:instrText xml:space="preserve"> HYPERLINK \l "_Toc17567" </w:instrText>
      </w:r>
      <w:r>
        <w:rPr>
          <w:color w:val="auto"/>
          <w:highlight w:val="none"/>
        </w:rPr>
        <w:fldChar w:fldCharType="separate"/>
      </w:r>
      <w:r>
        <w:rPr>
          <w:rFonts w:hint="eastAsia"/>
          <w:color w:val="auto"/>
          <w:kern w:val="44"/>
          <w:sz w:val="28"/>
          <w:szCs w:val="28"/>
          <w:highlight w:val="none"/>
        </w:rPr>
        <w:t>第二章  供应商须知</w:t>
      </w:r>
      <w:r>
        <w:rPr>
          <w:color w:val="auto"/>
          <w:sz w:val="28"/>
          <w:szCs w:val="28"/>
          <w:highlight w:val="none"/>
        </w:rPr>
        <w:tab/>
      </w:r>
      <w:r>
        <w:rPr>
          <w:rFonts w:hint="eastAsia"/>
          <w:color w:val="auto"/>
          <w:sz w:val="28"/>
          <w:szCs w:val="28"/>
          <w:highlight w:val="none"/>
          <w:lang w:val="en-US" w:eastAsia="zh-CN"/>
        </w:rPr>
        <w:t>6</w:t>
      </w:r>
      <w:r>
        <w:rPr>
          <w:rFonts w:hint="eastAsia"/>
          <w:color w:val="auto"/>
          <w:sz w:val="28"/>
          <w:szCs w:val="28"/>
          <w:highlight w:val="none"/>
        </w:rPr>
        <w:fldChar w:fldCharType="end"/>
      </w:r>
    </w:p>
    <w:p>
      <w:pPr>
        <w:pStyle w:val="12"/>
        <w:tabs>
          <w:tab w:val="right" w:leader="dot" w:pos="9070"/>
        </w:tabs>
        <w:rPr>
          <w:rFonts w:hint="default" w:eastAsia="宋体"/>
          <w:color w:val="auto"/>
          <w:sz w:val="28"/>
          <w:szCs w:val="28"/>
          <w:highlight w:val="none"/>
          <w:lang w:val="en-US" w:eastAsia="zh-CN"/>
        </w:rPr>
      </w:pPr>
      <w:r>
        <w:rPr>
          <w:rFonts w:hint="eastAsia"/>
          <w:color w:val="auto"/>
          <w:sz w:val="28"/>
          <w:szCs w:val="28"/>
          <w:highlight w:val="none"/>
          <w:lang w:val="en-US" w:eastAsia="zh-CN"/>
        </w:rPr>
        <w:t>第三章  项目说明及内容...................................................................... 30</w:t>
      </w:r>
    </w:p>
    <w:p>
      <w:pPr>
        <w:pStyle w:val="12"/>
        <w:tabs>
          <w:tab w:val="right" w:leader="dot" w:pos="9070"/>
        </w:tabs>
        <w:rPr>
          <w:rFonts w:hint="eastAsia" w:eastAsia="宋体"/>
          <w:color w:val="auto"/>
          <w:sz w:val="28"/>
          <w:szCs w:val="28"/>
          <w:highlight w:val="none"/>
          <w:lang w:eastAsia="zh-CN"/>
        </w:rPr>
      </w:pPr>
      <w:r>
        <w:rPr>
          <w:color w:val="auto"/>
          <w:highlight w:val="none"/>
        </w:rPr>
        <w:fldChar w:fldCharType="begin"/>
      </w:r>
      <w:r>
        <w:rPr>
          <w:color w:val="auto"/>
          <w:highlight w:val="none"/>
        </w:rPr>
        <w:instrText xml:space="preserve"> HYPERLINK \l "_Toc18195" </w:instrText>
      </w:r>
      <w:r>
        <w:rPr>
          <w:color w:val="auto"/>
          <w:highlight w:val="none"/>
        </w:rPr>
        <w:fldChar w:fldCharType="separate"/>
      </w:r>
      <w:r>
        <w:rPr>
          <w:rFonts w:hint="eastAsia"/>
          <w:color w:val="auto"/>
          <w:sz w:val="28"/>
          <w:szCs w:val="28"/>
          <w:highlight w:val="none"/>
        </w:rPr>
        <w:t xml:space="preserve">第四章 </w:t>
      </w:r>
      <w:r>
        <w:rPr>
          <w:rFonts w:hint="eastAsia"/>
          <w:bCs/>
          <w:color w:val="auto"/>
          <w:sz w:val="28"/>
          <w:szCs w:val="28"/>
          <w:highlight w:val="none"/>
        </w:rPr>
        <w:t>合同参考范本</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ascii="宋体" w:hAnsi="宋体"/>
          <w:color w:val="auto"/>
          <w:sz w:val="28"/>
          <w:szCs w:val="28"/>
          <w:highlight w:val="none"/>
          <w:lang w:val="en-US" w:eastAsia="zh-CN"/>
        </w:rPr>
        <w:t>5</w:t>
      </w:r>
    </w:p>
    <w:p>
      <w:pPr>
        <w:pStyle w:val="12"/>
        <w:tabs>
          <w:tab w:val="right" w:leader="dot" w:pos="9070"/>
        </w:tabs>
        <w:rPr>
          <w:rFonts w:hint="eastAsia" w:eastAsia="宋体"/>
          <w:color w:val="auto"/>
          <w:sz w:val="22"/>
          <w:szCs w:val="22"/>
          <w:highlight w:val="none"/>
          <w:lang w:eastAsia="zh-CN"/>
        </w:rPr>
      </w:pPr>
      <w:r>
        <w:rPr>
          <w:color w:val="auto"/>
          <w:highlight w:val="none"/>
        </w:rPr>
        <w:fldChar w:fldCharType="begin"/>
      </w:r>
      <w:r>
        <w:rPr>
          <w:color w:val="auto"/>
          <w:highlight w:val="none"/>
        </w:rPr>
        <w:instrText xml:space="preserve"> HYPERLINK \l "_Toc67" </w:instrText>
      </w:r>
      <w:r>
        <w:rPr>
          <w:color w:val="auto"/>
          <w:highlight w:val="none"/>
        </w:rPr>
        <w:fldChar w:fldCharType="separate"/>
      </w:r>
      <w:r>
        <w:rPr>
          <w:rFonts w:hint="eastAsia"/>
          <w:color w:val="auto"/>
          <w:kern w:val="44"/>
          <w:sz w:val="28"/>
          <w:szCs w:val="28"/>
          <w:highlight w:val="none"/>
        </w:rPr>
        <w:t>第五章  附件</w:t>
      </w:r>
      <w:r>
        <w:rPr>
          <w:color w:val="auto"/>
          <w:sz w:val="28"/>
          <w:szCs w:val="28"/>
          <w:highlight w:val="none"/>
        </w:rPr>
        <w:tab/>
      </w:r>
      <w:r>
        <w:rPr>
          <w:rFonts w:hint="eastAsia"/>
          <w:color w:val="auto"/>
          <w:sz w:val="28"/>
          <w:szCs w:val="28"/>
          <w:highlight w:val="none"/>
        </w:rPr>
        <w:t>3</w:t>
      </w:r>
      <w:r>
        <w:rPr>
          <w:rFonts w:hint="eastAsia"/>
          <w:color w:val="auto"/>
          <w:sz w:val="28"/>
          <w:szCs w:val="28"/>
          <w:highlight w:val="none"/>
        </w:rPr>
        <w:fldChar w:fldCharType="end"/>
      </w:r>
      <w:r>
        <w:rPr>
          <w:rFonts w:hint="eastAsia" w:ascii="宋体" w:hAnsi="宋体"/>
          <w:color w:val="auto"/>
          <w:sz w:val="28"/>
          <w:szCs w:val="28"/>
          <w:highlight w:val="none"/>
          <w:lang w:val="en-US" w:eastAsia="zh-CN"/>
        </w:rPr>
        <w:t>6</w:t>
      </w:r>
    </w:p>
    <w:p>
      <w:pPr>
        <w:rPr>
          <w:rFonts w:ascii="宋体" w:hAnsi="宋体"/>
          <w:color w:val="auto"/>
          <w:sz w:val="24"/>
          <w:szCs w:val="52"/>
          <w:highlight w:val="none"/>
        </w:rPr>
      </w:pPr>
      <w:r>
        <w:rPr>
          <w:rFonts w:ascii="宋体" w:hAnsi="宋体"/>
          <w:color w:val="auto"/>
          <w:sz w:val="24"/>
          <w:szCs w:val="52"/>
          <w:highlight w:val="none"/>
        </w:rPr>
        <w:fldChar w:fldCharType="end"/>
      </w:r>
    </w:p>
    <w:p>
      <w:pPr>
        <w:rPr>
          <w:rFonts w:ascii="宋体" w:hAnsi="宋体"/>
          <w:color w:val="auto"/>
          <w:sz w:val="24"/>
          <w:szCs w:val="52"/>
          <w:highlight w:val="none"/>
        </w:rPr>
      </w:pPr>
    </w:p>
    <w:p>
      <w:pPr>
        <w:rPr>
          <w:rFonts w:ascii="宋体" w:hAnsi="宋体"/>
          <w:color w:val="auto"/>
          <w:sz w:val="24"/>
          <w:szCs w:val="52"/>
          <w:highlight w:val="none"/>
        </w:rPr>
      </w:pPr>
    </w:p>
    <w:p>
      <w:pPr>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pStyle w:val="24"/>
        <w:ind w:firstLine="480"/>
        <w:rPr>
          <w:rFonts w:ascii="宋体" w:hAnsi="宋体"/>
          <w:color w:val="auto"/>
          <w:sz w:val="24"/>
          <w:szCs w:val="52"/>
          <w:highlight w:val="none"/>
        </w:rPr>
      </w:pPr>
    </w:p>
    <w:p>
      <w:pPr>
        <w:rPr>
          <w:rFonts w:ascii="宋体" w:hAnsi="宋体"/>
          <w:b/>
          <w:bCs/>
          <w:color w:val="auto"/>
          <w:sz w:val="22"/>
          <w:szCs w:val="21"/>
          <w:highlight w:val="none"/>
        </w:rPr>
        <w:sectPr>
          <w:headerReference r:id="rId4" w:type="default"/>
          <w:footerReference r:id="rId5" w:type="default"/>
          <w:pgSz w:w="11910" w:h="16840"/>
          <w:pgMar w:top="1191" w:right="1134" w:bottom="1191" w:left="1134" w:header="0" w:footer="970" w:gutter="0"/>
          <w:pgNumType w:start="2"/>
          <w:cols w:space="720" w:num="1"/>
        </w:sectPr>
      </w:pPr>
    </w:p>
    <w:p>
      <w:pPr>
        <w:pStyle w:val="3"/>
        <w:spacing w:line="360" w:lineRule="auto"/>
        <w:jc w:val="both"/>
        <w:rPr>
          <w:rFonts w:ascii="宋体" w:hAnsi="宋体"/>
          <w:bCs/>
          <w:color w:val="auto"/>
          <w:sz w:val="36"/>
          <w:szCs w:val="21"/>
          <w:highlight w:val="none"/>
        </w:rPr>
        <w:sectPr>
          <w:type w:val="continuous"/>
          <w:pgSz w:w="11910" w:h="16840"/>
          <w:pgMar w:top="1191" w:right="1134" w:bottom="1191" w:left="1134" w:header="0" w:footer="970" w:gutter="0"/>
          <w:pgNumType w:start="15"/>
          <w:cols w:space="720" w:num="1"/>
        </w:sectPr>
      </w:pPr>
    </w:p>
    <w:p>
      <w:pPr>
        <w:pStyle w:val="3"/>
        <w:spacing w:line="360" w:lineRule="auto"/>
        <w:rPr>
          <w:rFonts w:ascii="宋体" w:hAnsi="宋体"/>
          <w:b w:val="0"/>
          <w:color w:val="auto"/>
          <w:sz w:val="36"/>
          <w:szCs w:val="21"/>
          <w:highlight w:val="none"/>
        </w:rPr>
      </w:pPr>
      <w:r>
        <w:rPr>
          <w:rFonts w:hint="eastAsia" w:ascii="宋体" w:hAnsi="宋体"/>
          <w:bCs/>
          <w:color w:val="auto"/>
          <w:sz w:val="36"/>
          <w:szCs w:val="21"/>
          <w:highlight w:val="none"/>
        </w:rPr>
        <w:t>第一章  竞争性磋商公告</w:t>
      </w:r>
    </w:p>
    <w:p>
      <w:pPr>
        <w:autoSpaceDN w:val="0"/>
        <w:spacing w:line="440" w:lineRule="exact"/>
        <w:jc w:val="lef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一、</w:t>
      </w:r>
      <w:r>
        <w:rPr>
          <w:rFonts w:hint="eastAsia" w:asciiTheme="minorEastAsia" w:hAnsiTheme="minorEastAsia" w:eastAsiaTheme="minorEastAsia" w:cstheme="minorEastAsia"/>
          <w:color w:val="auto"/>
          <w:sz w:val="28"/>
          <w:szCs w:val="28"/>
          <w:highlight w:val="none"/>
          <w:lang w:val="en-US" w:eastAsia="zh-CN"/>
        </w:rPr>
        <w:t xml:space="preserve"> 采购人</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天元建设集团有限公司</w:t>
      </w:r>
    </w:p>
    <w:p>
      <w:pPr>
        <w:autoSpaceDN w:val="0"/>
        <w:spacing w:line="440" w:lineRule="exact"/>
        <w:ind w:firstLine="560" w:firstLineChars="200"/>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采购代理机构：山东华方项目管理有限公司</w:t>
      </w:r>
    </w:p>
    <w:p>
      <w:pPr>
        <w:autoSpaceDN w:val="0"/>
        <w:spacing w:line="440" w:lineRule="exact"/>
        <w:ind w:left="-17" w:leftChars="-8" w:firstLine="560" w:firstLineChars="200"/>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地址：临沂市兰山区涑河南街与八蜡庙街交汇处瑞联温州街C区620室</w:t>
      </w:r>
    </w:p>
    <w:p>
      <w:pPr>
        <w:autoSpaceDN w:val="0"/>
        <w:spacing w:line="440" w:lineRule="exact"/>
        <w:ind w:left="-17" w:leftChars="-8" w:firstLine="18"/>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联系方式：0539-7169789</w:t>
      </w:r>
    </w:p>
    <w:p>
      <w:pPr>
        <w:autoSpaceDN w:val="0"/>
        <w:spacing w:line="440" w:lineRule="exact"/>
        <w:ind w:left="-17" w:leftChars="-8" w:firstLine="18"/>
        <w:jc w:val="left"/>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rPr>
        <w:t>二、采购项目名称：</w:t>
      </w:r>
      <w:r>
        <w:rPr>
          <w:rFonts w:hint="eastAsia" w:asciiTheme="minorEastAsia" w:hAnsiTheme="minorEastAsia" w:eastAsiaTheme="minorEastAsia" w:cstheme="minorEastAsia"/>
          <w:color w:val="auto"/>
          <w:sz w:val="28"/>
          <w:szCs w:val="28"/>
          <w:highlight w:val="none"/>
          <w:lang w:eastAsia="zh-CN"/>
        </w:rPr>
        <w:t>山东省临沂卫生学校扩建项目图书信息综合楼工程-YT保温采购项目</w:t>
      </w:r>
    </w:p>
    <w:p>
      <w:pPr>
        <w:autoSpaceDN w:val="0"/>
        <w:spacing w:line="440" w:lineRule="exact"/>
        <w:ind w:left="-17" w:leftChars="-8" w:firstLine="579" w:firstLineChars="207"/>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rPr>
        <w:t>采购项目编号：</w:t>
      </w:r>
      <w:r>
        <w:rPr>
          <w:rFonts w:hint="eastAsia" w:asciiTheme="minorEastAsia" w:hAnsiTheme="minorEastAsia" w:eastAsiaTheme="minorEastAsia" w:cstheme="minorEastAsia"/>
          <w:color w:val="auto"/>
          <w:sz w:val="28"/>
          <w:szCs w:val="28"/>
          <w:highlight w:val="none"/>
          <w:lang w:eastAsia="zh-CN"/>
        </w:rPr>
        <w:t>SDHFCG-2021018</w:t>
      </w:r>
    </w:p>
    <w:p>
      <w:pPr>
        <w:tabs>
          <w:tab w:val="left" w:pos="3561"/>
        </w:tabs>
        <w:autoSpaceDN w:val="0"/>
        <w:spacing w:line="440" w:lineRule="exact"/>
        <w:ind w:left="-17" w:leftChars="-8" w:firstLine="579" w:firstLineChars="207"/>
        <w:jc w:val="left"/>
        <w:rPr>
          <w:color w:val="auto"/>
          <w:sz w:val="22"/>
          <w:szCs w:val="21"/>
          <w:highlight w:val="none"/>
        </w:rPr>
      </w:pPr>
      <w:r>
        <w:rPr>
          <w:rFonts w:hint="eastAsia" w:asciiTheme="minorEastAsia" w:hAnsiTheme="minorEastAsia" w:eastAsiaTheme="minorEastAsia" w:cstheme="minorEastAsia"/>
          <w:color w:val="auto"/>
          <w:sz w:val="28"/>
          <w:szCs w:val="28"/>
          <w:highlight w:val="none"/>
        </w:rPr>
        <w:t>采购项目分包情况：</w:t>
      </w:r>
    </w:p>
    <w:tbl>
      <w:tblPr>
        <w:tblStyle w:val="17"/>
        <w:tblpPr w:leftFromText="180" w:rightFromText="180" w:vertAnchor="text" w:horzAnchor="page" w:tblpXSpec="center" w:tblpY="905"/>
        <w:tblOverlap w:val="never"/>
        <w:tblW w:w="1017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4"/>
        <w:gridCol w:w="1551"/>
        <w:gridCol w:w="636"/>
        <w:gridCol w:w="5821"/>
        <w:gridCol w:w="16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6" w:hRule="atLeast"/>
          <w:jc w:val="center"/>
        </w:trPr>
        <w:tc>
          <w:tcPr>
            <w:tcW w:w="524"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标包</w:t>
            </w:r>
          </w:p>
        </w:tc>
        <w:tc>
          <w:tcPr>
            <w:tcW w:w="1551"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货物服务名称</w:t>
            </w:r>
          </w:p>
        </w:tc>
        <w:tc>
          <w:tcPr>
            <w:tcW w:w="636"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数量</w:t>
            </w:r>
          </w:p>
        </w:tc>
        <w:tc>
          <w:tcPr>
            <w:tcW w:w="5821"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ind w:left="-17" w:leftChars="-8" w:right="-344" w:rightChars="-164" w:firstLine="1932" w:firstLineChars="805"/>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投标人资格要求</w:t>
            </w:r>
          </w:p>
        </w:tc>
        <w:tc>
          <w:tcPr>
            <w:tcW w:w="1647"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本包预算金额（最高限价，</w:t>
            </w:r>
          </w:p>
          <w:p>
            <w:pPr>
              <w:tabs>
                <w:tab w:val="left" w:pos="3561"/>
              </w:tabs>
              <w:autoSpaceDN w:val="0"/>
              <w:spacing w:line="440" w:lineRule="exact"/>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99" w:hRule="atLeast"/>
          <w:jc w:val="center"/>
        </w:trPr>
        <w:tc>
          <w:tcPr>
            <w:tcW w:w="524"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ind w:left="-17" w:leftChars="-8" w:firstLine="18"/>
              <w:jc w:val="center"/>
              <w:rPr>
                <w:rFonts w:asciiTheme="minorEastAsia" w:hAnsiTheme="minorEastAsia" w:eastAsiaTheme="minorEastAsia" w:cstheme="minorEastAsia"/>
                <w:bCs/>
                <w:color w:val="auto"/>
                <w:sz w:val="28"/>
                <w:szCs w:val="28"/>
                <w:highlight w:val="none"/>
              </w:rPr>
            </w:pPr>
          </w:p>
          <w:p>
            <w:pPr>
              <w:autoSpaceDN w:val="0"/>
              <w:spacing w:line="360" w:lineRule="auto"/>
              <w:ind w:left="-17" w:leftChars="-8" w:firstLine="18"/>
              <w:jc w:val="center"/>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A</w:t>
            </w:r>
          </w:p>
          <w:p>
            <w:pPr>
              <w:autoSpaceDN w:val="0"/>
              <w:spacing w:line="360" w:lineRule="auto"/>
              <w:ind w:left="-17" w:leftChars="-8" w:firstLine="18"/>
              <w:jc w:val="center"/>
              <w:rPr>
                <w:rFonts w:asciiTheme="minorEastAsia" w:hAnsiTheme="minorEastAsia" w:eastAsiaTheme="minorEastAsia" w:cstheme="minorEastAsia"/>
                <w:color w:val="auto"/>
                <w:sz w:val="22"/>
                <w:szCs w:val="22"/>
                <w:highlight w:val="none"/>
              </w:rPr>
            </w:pPr>
          </w:p>
        </w:tc>
        <w:tc>
          <w:tcPr>
            <w:tcW w:w="1551"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8"/>
                <w:szCs w:val="28"/>
                <w:highlight w:val="none"/>
              </w:rPr>
              <w:t>扩建项目图书信息综合楼工程</w:t>
            </w:r>
            <w:r>
              <w:rPr>
                <w:rFonts w:hint="eastAsia" w:asciiTheme="minorEastAsia" w:hAnsiTheme="minorEastAsia" w:eastAsiaTheme="minorEastAsia" w:cstheme="minorEastAsia"/>
                <w:color w:val="auto"/>
                <w:sz w:val="28"/>
                <w:szCs w:val="28"/>
                <w:highlight w:val="none"/>
                <w:lang w:eastAsia="zh-CN"/>
              </w:rPr>
              <w:t>-YT保温采购项目</w:t>
            </w:r>
          </w:p>
        </w:tc>
        <w:tc>
          <w:tcPr>
            <w:tcW w:w="636"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ind w:firstLine="280" w:firstLineChars="100"/>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8"/>
                <w:szCs w:val="28"/>
                <w:highlight w:val="none"/>
                <w:lang w:val="en-US" w:eastAsia="zh-CN"/>
              </w:rPr>
              <w:t>1</w:t>
            </w:r>
          </w:p>
        </w:tc>
        <w:tc>
          <w:tcPr>
            <w:tcW w:w="5821" w:type="dxa"/>
            <w:tcBorders>
              <w:top w:val="outset" w:color="auto" w:sz="6" w:space="0"/>
              <w:left w:val="outset" w:color="auto" w:sz="6" w:space="0"/>
              <w:right w:val="outset" w:color="auto" w:sz="6" w:space="0"/>
            </w:tcBorders>
            <w:noWrap/>
            <w:vAlign w:val="center"/>
          </w:tcPr>
          <w:p>
            <w:pPr>
              <w:autoSpaceDN w:val="0"/>
              <w:spacing w:line="440" w:lineRule="exact"/>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1.具备《中华人民共和国政府采购法》第二十二条规定条件；</w:t>
            </w:r>
          </w:p>
          <w:p>
            <w:pPr>
              <w:autoSpaceDN w:val="0"/>
              <w:spacing w:line="440" w:lineRule="exact"/>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2.具有独立承担民事责任的能力，具有良好的商业信誉和健全的财务会计制度；</w:t>
            </w:r>
          </w:p>
          <w:p>
            <w:pPr>
              <w:autoSpaceDN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投标人须具备建设行政主管部门核发的</w:t>
            </w:r>
            <w:r>
              <w:rPr>
                <w:rFonts w:hint="eastAsia" w:asciiTheme="minorEastAsia" w:hAnsiTheme="minorEastAsia" w:eastAsiaTheme="minorEastAsia" w:cstheme="minorEastAsia"/>
                <w:color w:val="auto"/>
                <w:sz w:val="28"/>
                <w:szCs w:val="28"/>
                <w:highlight w:val="none"/>
                <w:lang w:val="en-US" w:eastAsia="zh-CN"/>
              </w:rPr>
              <w:t>防腐保温工程二级资质以上（含二级），须提供有效期内的安全生产许可证副本；</w:t>
            </w:r>
            <w:r>
              <w:rPr>
                <w:rFonts w:hint="eastAsia" w:asciiTheme="minorEastAsia" w:hAnsiTheme="minorEastAsia" w:eastAsiaTheme="minorEastAsia" w:cstheme="minorEastAsia"/>
                <w:color w:val="auto"/>
                <w:sz w:val="28"/>
                <w:szCs w:val="28"/>
                <w:highlight w:val="none"/>
              </w:rPr>
              <w:t>并在</w:t>
            </w:r>
            <w:r>
              <w:rPr>
                <w:rFonts w:hint="eastAsia" w:asciiTheme="minorEastAsia" w:hAnsiTheme="minorEastAsia" w:eastAsiaTheme="minorEastAsia" w:cstheme="minorEastAsia"/>
                <w:color w:val="auto"/>
                <w:sz w:val="28"/>
                <w:szCs w:val="28"/>
                <w:highlight w:val="none"/>
                <w:lang w:eastAsia="zh-CN"/>
              </w:rPr>
              <w:t>材料、</w:t>
            </w:r>
            <w:r>
              <w:rPr>
                <w:rFonts w:hint="eastAsia" w:asciiTheme="minorEastAsia" w:hAnsiTheme="minorEastAsia" w:eastAsiaTheme="minorEastAsia" w:cstheme="minorEastAsia"/>
                <w:color w:val="auto"/>
                <w:sz w:val="28"/>
                <w:szCs w:val="28"/>
                <w:highlight w:val="none"/>
              </w:rPr>
              <w:t>人员、设备、资金等方面具有相应的施工能力。</w:t>
            </w:r>
          </w:p>
          <w:p>
            <w:pPr>
              <w:autoSpaceDN w:val="0"/>
              <w:spacing w:line="440" w:lineRule="exact"/>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.拟派项目经理须具备建筑专业二级或以上注册建造师执业资格，具备有效的安全生产考核合格证书</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B证</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，且未担任其他在建工程项目的项目经理。</w:t>
            </w:r>
          </w:p>
          <w:p>
            <w:pPr>
              <w:autoSpaceDN w:val="0"/>
              <w:spacing w:line="440" w:lineRule="exact"/>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5.外墙保温产品系统检验报告、YT保温系统组成材料省级以上型式（含省级）检验报告、外墙保温防火性能检测报告等有关质量证明文件。</w:t>
            </w:r>
          </w:p>
          <w:p>
            <w:pPr>
              <w:autoSpaceDN w:val="0"/>
              <w:spacing w:line="440" w:lineRule="exact"/>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有依法缴纳税收和社会保障资金的良好记录；</w:t>
            </w:r>
          </w:p>
          <w:p>
            <w:pPr>
              <w:autoSpaceDN w:val="0"/>
              <w:spacing w:line="440" w:lineRule="exact"/>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、参加政府采购活动前三年内，在经营活动中没有重大违法记录；</w:t>
            </w:r>
          </w:p>
          <w:p>
            <w:pPr>
              <w:autoSpaceDN w:val="0"/>
              <w:spacing w:line="440" w:lineRule="exact"/>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8</w:t>
            </w:r>
            <w:r>
              <w:rPr>
                <w:rFonts w:hint="eastAsia" w:asciiTheme="minorEastAsia" w:hAnsiTheme="minorEastAsia" w:eastAsiaTheme="minorEastAsia" w:cstheme="minorEastAsia"/>
                <w:color w:val="auto"/>
                <w:sz w:val="28"/>
                <w:szCs w:val="28"/>
                <w:highlight w:val="none"/>
              </w:rPr>
              <w:t>、未被列入失信被执行人、重大税收违法案件当事人名单、政府采购严重违法失信行为记录名单</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信用信息以“信用中国”网站</w:t>
            </w:r>
          </w:p>
          <w:p>
            <w:pPr>
              <w:autoSpaceDN w:val="0"/>
              <w:spacing w:line="440" w:lineRule="exact"/>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（www.creditchina.gov.cn）、中国政府采购网</w:t>
            </w:r>
          </w:p>
          <w:p>
            <w:pPr>
              <w:autoSpaceDN w:val="0"/>
              <w:spacing w:line="440" w:lineRule="exact"/>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（www.ccgp.gov.cn）公布为准，“信用中国”无不良记录及“中国裁判文书网”无行贿记录（截图为准）；</w:t>
            </w:r>
          </w:p>
          <w:p>
            <w:pPr>
              <w:autoSpaceDN w:val="0"/>
              <w:spacing w:line="440" w:lineRule="exact"/>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rPr>
              <w:t xml:space="preserve">、本项目不接受联合体投标，不得分包或转包； </w:t>
            </w:r>
          </w:p>
          <w:p>
            <w:pPr>
              <w:autoSpaceDN w:val="0"/>
              <w:spacing w:line="440" w:lineRule="exact"/>
              <w:jc w:val="left"/>
              <w:rPr>
                <w:rFonts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磋商文件</w:t>
            </w:r>
            <w:r>
              <w:rPr>
                <w:rFonts w:hint="eastAsia" w:asciiTheme="minorEastAsia" w:hAnsiTheme="minorEastAsia" w:eastAsiaTheme="minorEastAsia" w:cstheme="minorEastAsia"/>
                <w:color w:val="auto"/>
                <w:sz w:val="28"/>
                <w:szCs w:val="28"/>
                <w:highlight w:val="none"/>
              </w:rPr>
              <w:t>及法律法规规定的其他条款。</w:t>
            </w:r>
          </w:p>
        </w:tc>
        <w:tc>
          <w:tcPr>
            <w:tcW w:w="1647"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ind w:left="-17" w:leftChars="-8" w:firstLine="302" w:firstLineChars="108"/>
              <w:jc w:val="both"/>
              <w:rPr>
                <w:rFonts w:hint="default" w:asciiTheme="minorEastAsia" w:hAnsiTheme="minorEastAsia" w:eastAsiaTheme="minorEastAsia" w:cstheme="minorEastAsia"/>
                <w:color w:val="auto"/>
                <w:sz w:val="22"/>
                <w:szCs w:val="22"/>
                <w:highlight w:val="none"/>
                <w:lang w:val="en-US"/>
              </w:rPr>
            </w:pPr>
            <w:r>
              <w:rPr>
                <w:rFonts w:hint="eastAsia" w:asciiTheme="minorEastAsia" w:hAnsiTheme="minorEastAsia" w:eastAsiaTheme="minorEastAsia" w:cstheme="minorEastAsia"/>
                <w:color w:val="auto"/>
                <w:sz w:val="28"/>
                <w:szCs w:val="28"/>
                <w:highlight w:val="none"/>
                <w:lang w:eastAsia="zh-CN"/>
              </w:rPr>
              <w:t>268.48</w:t>
            </w:r>
          </w:p>
        </w:tc>
      </w:tr>
    </w:tbl>
    <w:p>
      <w:pPr>
        <w:pStyle w:val="27"/>
        <w:ind w:firstLine="0" w:firstLineChars="0"/>
        <w:rPr>
          <w:color w:val="auto"/>
          <w:sz w:val="22"/>
          <w:szCs w:val="24"/>
          <w:highlight w:val="none"/>
        </w:rPr>
      </w:pPr>
    </w:p>
    <w:p>
      <w:pPr>
        <w:autoSpaceDN w:val="0"/>
        <w:spacing w:line="440" w:lineRule="exact"/>
        <w:ind w:left="-17" w:leftChars="-8" w:firstLine="18"/>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三、获取磋商文件  </w:t>
      </w:r>
    </w:p>
    <w:p>
      <w:pPr>
        <w:autoSpaceDN w:val="0"/>
        <w:spacing w:line="440" w:lineRule="exact"/>
        <w:ind w:left="-17" w:leftChars="-8" w:firstLine="18"/>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1.时间：2021年</w:t>
      </w:r>
      <w:r>
        <w:rPr>
          <w:rFonts w:hint="eastAsia" w:asciiTheme="minorEastAsia" w:hAnsiTheme="minorEastAsia" w:eastAsia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13</w:t>
      </w:r>
      <w:r>
        <w:rPr>
          <w:rFonts w:hint="eastAsia" w:asciiTheme="minorEastAsia" w:hAnsiTheme="minorEastAsia" w:eastAsiaTheme="minorEastAsia" w:cstheme="minorEastAsia"/>
          <w:color w:val="auto"/>
          <w:sz w:val="28"/>
          <w:szCs w:val="28"/>
          <w:highlight w:val="none"/>
        </w:rPr>
        <w:t>日08时30分至2021年</w:t>
      </w:r>
      <w:r>
        <w:rPr>
          <w:rFonts w:hint="eastAsia" w:asciiTheme="minorEastAsia" w:hAnsiTheme="minorEastAsia" w:eastAsia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19</w:t>
      </w:r>
      <w:r>
        <w:rPr>
          <w:rFonts w:hint="eastAsia" w:asciiTheme="minorEastAsia" w:hAnsiTheme="minorEastAsia" w:eastAsiaTheme="minorEastAsia" w:cstheme="minorEastAsia"/>
          <w:color w:val="auto"/>
          <w:sz w:val="28"/>
          <w:szCs w:val="28"/>
          <w:highlight w:val="none"/>
        </w:rPr>
        <w:t>日17时00分（北京时间，</w:t>
      </w:r>
      <w:r>
        <w:rPr>
          <w:rFonts w:hint="eastAsia" w:ascii="宋体" w:hAnsi="宋体"/>
          <w:color w:val="auto"/>
          <w:sz w:val="28"/>
          <w:szCs w:val="21"/>
          <w:highlight w:val="none"/>
        </w:rPr>
        <w:t>法定节假日除外）。</w:t>
      </w:r>
    </w:p>
    <w:p>
      <w:pPr>
        <w:spacing w:line="440" w:lineRule="exact"/>
        <w:ind w:firstLine="480"/>
        <w:rPr>
          <w:rFonts w:asciiTheme="minorEastAsia" w:hAnsiTheme="minorEastAsia" w:eastAsiaTheme="minorEastAsia" w:cstheme="minorEastAsia"/>
          <w:color w:val="auto"/>
          <w:sz w:val="28"/>
          <w:szCs w:val="21"/>
          <w:highlight w:val="none"/>
        </w:rPr>
      </w:pPr>
      <w:r>
        <w:rPr>
          <w:rFonts w:hint="eastAsia" w:asciiTheme="minorEastAsia" w:hAnsiTheme="minorEastAsia" w:eastAsiaTheme="minorEastAsia" w:cstheme="minorEastAsia"/>
          <w:color w:val="auto"/>
          <w:sz w:val="28"/>
          <w:szCs w:val="21"/>
          <w:highlight w:val="none"/>
        </w:rPr>
        <w:t>2.地点：</w:t>
      </w:r>
      <w:r>
        <w:rPr>
          <w:rFonts w:hint="eastAsia" w:asciiTheme="minorEastAsia" w:hAnsiTheme="minorEastAsia" w:eastAsiaTheme="minorEastAsia" w:cstheme="minorEastAsia"/>
          <w:color w:val="auto"/>
          <w:sz w:val="28"/>
          <w:szCs w:val="28"/>
          <w:highlight w:val="none"/>
        </w:rPr>
        <w:t>临沂市兰山区涑河南街与八蜡庙街交汇处瑞联温州街C区620室。</w:t>
      </w:r>
    </w:p>
    <w:p>
      <w:pPr>
        <w:spacing w:line="440" w:lineRule="exact"/>
        <w:ind w:firstLine="480"/>
        <w:rPr>
          <w:rFonts w:eastAsiaTheme="minorEastAsia"/>
          <w:color w:val="auto"/>
          <w:sz w:val="28"/>
          <w:szCs w:val="28"/>
          <w:highlight w:val="none"/>
        </w:rPr>
      </w:pPr>
      <w:r>
        <w:rPr>
          <w:rFonts w:hint="eastAsia" w:asciiTheme="minorEastAsia" w:hAnsiTheme="minorEastAsia" w:eastAsiaTheme="minorEastAsia" w:cstheme="minorEastAsia"/>
          <w:color w:val="auto"/>
          <w:sz w:val="28"/>
          <w:szCs w:val="21"/>
          <w:highlight w:val="none"/>
        </w:rPr>
        <w:t>3.方式：</w:t>
      </w:r>
      <w:r>
        <w:rPr>
          <w:rFonts w:hint="eastAsia" w:ascii="宋体" w:hAnsi="宋体" w:cs="宋体"/>
          <w:color w:val="auto"/>
          <w:sz w:val="28"/>
          <w:szCs w:val="28"/>
          <w:highlight w:val="none"/>
        </w:rPr>
        <w:t>现场领取磋商文件。</w:t>
      </w:r>
    </w:p>
    <w:p>
      <w:pPr>
        <w:pStyle w:val="12"/>
        <w:rPr>
          <w:color w:val="auto"/>
          <w:highlight w:val="none"/>
        </w:rPr>
      </w:pPr>
      <w:r>
        <w:rPr>
          <w:rFonts w:hint="eastAsia" w:eastAsiaTheme="minorEastAsia"/>
          <w:color w:val="auto"/>
          <w:sz w:val="28"/>
          <w:szCs w:val="28"/>
          <w:highlight w:val="none"/>
        </w:rPr>
        <w:t>携带资料：</w:t>
      </w:r>
    </w:p>
    <w:p>
      <w:pPr>
        <w:numPr>
          <w:ilvl w:val="0"/>
          <w:numId w:val="1"/>
        </w:numPr>
        <w:spacing w:line="440" w:lineRule="exact"/>
        <w:ind w:left="0" w:leftChars="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营业执照（副本）</w:t>
      </w:r>
      <w:r>
        <w:rPr>
          <w:rFonts w:hint="eastAsia" w:ascii="宋体" w:hAnsi="宋体" w:cs="宋体"/>
          <w:color w:val="auto"/>
          <w:sz w:val="28"/>
          <w:szCs w:val="28"/>
          <w:highlight w:val="none"/>
          <w:lang w:val="en-US" w:eastAsia="zh-CN"/>
        </w:rPr>
        <w:t>;</w:t>
      </w:r>
    </w:p>
    <w:p>
      <w:pPr>
        <w:numPr>
          <w:ilvl w:val="0"/>
          <w:numId w:val="1"/>
        </w:numPr>
        <w:spacing w:line="440" w:lineRule="exact"/>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法定代表人身份证明书或者法定代表人授权委托书及其身份证；</w:t>
      </w:r>
    </w:p>
    <w:p>
      <w:pPr>
        <w:numPr>
          <w:ilvl w:val="0"/>
          <w:numId w:val="1"/>
        </w:numPr>
        <w:spacing w:line="440" w:lineRule="exact"/>
        <w:ind w:left="0" w:leftChars="0" w:firstLine="560" w:firstLineChars="200"/>
        <w:rPr>
          <w:rFonts w:ascii="宋体" w:hAnsi="宋体" w:cs="宋体"/>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防腐保温工程二级资质以上（含二级），有效期内的安全生产许可证副本；</w:t>
      </w:r>
    </w:p>
    <w:p>
      <w:pPr>
        <w:pStyle w:val="2"/>
        <w:numPr>
          <w:ilvl w:val="0"/>
          <w:numId w:val="1"/>
        </w:numPr>
        <w:ind w:left="0" w:leftChars="0" w:firstLine="560" w:firstLineChars="200"/>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项目经理相关证书；</w:t>
      </w:r>
    </w:p>
    <w:p>
      <w:pPr>
        <w:numPr>
          <w:ilvl w:val="0"/>
          <w:numId w:val="1"/>
        </w:numPr>
        <w:autoSpaceDN w:val="0"/>
        <w:spacing w:line="440" w:lineRule="exact"/>
        <w:ind w:left="0" w:leftChars="0" w:firstLine="560" w:firstLineChars="200"/>
        <w:jc w:val="left"/>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外墙保温产品系统检验报告、YT保温系统组成材料省级以上型式（含省级）检验报告、外墙保温防火性能检测报告等有关质量证明文件。</w:t>
      </w:r>
    </w:p>
    <w:p>
      <w:pPr>
        <w:pStyle w:val="2"/>
        <w:rPr>
          <w:rFonts w:hint="default"/>
          <w:color w:val="auto"/>
          <w:highlight w:val="none"/>
          <w:lang w:val="en-US"/>
        </w:rPr>
      </w:pPr>
    </w:p>
    <w:p>
      <w:pPr>
        <w:numPr>
          <w:ilvl w:val="0"/>
          <w:numId w:val="1"/>
        </w:numPr>
        <w:spacing w:line="440" w:lineRule="exact"/>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2020</w:t>
      </w:r>
      <w:r>
        <w:rPr>
          <w:rFonts w:hint="eastAsia" w:ascii="宋体" w:hAnsi="宋体" w:cs="宋体"/>
          <w:color w:val="auto"/>
          <w:sz w:val="28"/>
          <w:szCs w:val="28"/>
          <w:highlight w:val="none"/>
        </w:rPr>
        <w:t>年度财务状况报告（经会计事务所或者审计机构审计的财务会计    报</w:t>
      </w:r>
      <w:r>
        <w:rPr>
          <w:rFonts w:hint="eastAsia" w:ascii="宋体" w:hAnsi="宋体" w:cs="宋体"/>
          <w:color w:val="auto"/>
          <w:sz w:val="28"/>
          <w:szCs w:val="28"/>
          <w:highlight w:val="none"/>
          <w:lang w:val="en-US" w:eastAsia="zh-CN"/>
        </w:rPr>
        <w:t>告</w:t>
      </w:r>
      <w:r>
        <w:rPr>
          <w:rFonts w:hint="eastAsia" w:ascii="宋体" w:hAnsi="宋体" w:cs="宋体"/>
          <w:color w:val="auto"/>
          <w:sz w:val="28"/>
          <w:szCs w:val="28"/>
          <w:highlight w:val="none"/>
        </w:rPr>
        <w:t>）；</w:t>
      </w:r>
    </w:p>
    <w:p>
      <w:pPr>
        <w:numPr>
          <w:ilvl w:val="0"/>
          <w:numId w:val="1"/>
        </w:numPr>
        <w:spacing w:line="440" w:lineRule="exact"/>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依法缴纳税收和社会保障资金的良好记录（202</w:t>
      </w:r>
      <w:r>
        <w:rPr>
          <w:rFonts w:hint="eastAsia" w:ascii="宋体" w:hAnsi="宋体" w:cs="宋体"/>
          <w:color w:val="auto"/>
          <w:sz w:val="28"/>
          <w:szCs w:val="28"/>
          <w:highlight w:val="none"/>
          <w:lang w:val="en-US" w:eastAsia="zh-CN"/>
        </w:rPr>
        <w:t>1</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1月-2021年6月</w:t>
      </w:r>
      <w:r>
        <w:rPr>
          <w:rFonts w:hint="eastAsia" w:ascii="宋体" w:hAnsi="宋体" w:cs="宋体"/>
          <w:color w:val="auto"/>
          <w:sz w:val="28"/>
          <w:szCs w:val="28"/>
          <w:highlight w:val="none"/>
        </w:rPr>
        <w:t>）；</w:t>
      </w:r>
    </w:p>
    <w:p>
      <w:pPr>
        <w:numPr>
          <w:ilvl w:val="0"/>
          <w:numId w:val="1"/>
        </w:numPr>
        <w:spacing w:line="440" w:lineRule="exact"/>
        <w:ind w:left="0" w:leftChars="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参加政府采购活动前三年内，在经营活动中没有重大违法记录的声明。</w:t>
      </w:r>
    </w:p>
    <w:p>
      <w:pPr>
        <w:numPr>
          <w:ilvl w:val="0"/>
          <w:numId w:val="1"/>
        </w:numPr>
        <w:autoSpaceDN w:val="0"/>
        <w:spacing w:line="440" w:lineRule="exact"/>
        <w:ind w:left="0" w:leftChars="0" w:firstLine="560" w:firstLineChars="200"/>
        <w:jc w:val="left"/>
        <w:rPr>
          <w:color w:val="auto"/>
          <w:highlight w:val="none"/>
        </w:rPr>
      </w:pPr>
      <w:r>
        <w:rPr>
          <w:rFonts w:hint="eastAsia" w:asciiTheme="minorEastAsia" w:hAnsiTheme="minorEastAsia" w:eastAsiaTheme="minorEastAsia" w:cstheme="minorEastAsia"/>
          <w:color w:val="auto"/>
          <w:sz w:val="28"/>
          <w:szCs w:val="28"/>
          <w:highlight w:val="none"/>
        </w:rPr>
        <w:t>未被列入失信被执行人、重大税收违法案件当事人名单、政府采购严重违法失信行为记录名单</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信用信息以“信用中国”网（www.creditchina.gov.cn）、中国政府采购网（www.ccgp.gov.cn）公布为准，“信用中国”无不良记录及“中国裁判文书网”无行贿记录（截图为准）；</w:t>
      </w:r>
    </w:p>
    <w:p>
      <w:pPr>
        <w:tabs>
          <w:tab w:val="left" w:pos="7145"/>
        </w:tabs>
        <w:spacing w:line="440" w:lineRule="exact"/>
        <w:ind w:left="420" w:leftChars="200" w:firstLine="281" w:firstLineChars="100"/>
        <w:rPr>
          <w:rFonts w:asciiTheme="minorEastAsia" w:hAnsiTheme="minorEastAsia" w:eastAsiaTheme="minorEastAsia" w:cstheme="minorEastAsia"/>
          <w:b/>
          <w:bCs/>
          <w:color w:val="auto"/>
          <w:sz w:val="28"/>
          <w:szCs w:val="21"/>
          <w:highlight w:val="none"/>
        </w:rPr>
      </w:pPr>
      <w:r>
        <w:rPr>
          <w:rFonts w:hint="eastAsia" w:asciiTheme="minorEastAsia" w:hAnsiTheme="minorEastAsia" w:eastAsiaTheme="minorEastAsia" w:cstheme="minorEastAsia"/>
          <w:b/>
          <w:bCs/>
          <w:color w:val="auto"/>
          <w:sz w:val="28"/>
          <w:szCs w:val="21"/>
          <w:highlight w:val="none"/>
        </w:rPr>
        <w:t>以上资料须提供原件，并附复印件一份留存。</w:t>
      </w:r>
    </w:p>
    <w:p>
      <w:pPr>
        <w:spacing w:line="440" w:lineRule="exact"/>
        <w:ind w:firstLine="48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1"/>
          <w:highlight w:val="none"/>
        </w:rPr>
        <w:t>4.售价：300元/份。</w:t>
      </w:r>
      <w:r>
        <w:rPr>
          <w:rFonts w:hint="eastAsia" w:asciiTheme="minorEastAsia" w:hAnsiTheme="minorEastAsia" w:eastAsiaTheme="minorEastAsia" w:cstheme="minorEastAsia"/>
          <w:color w:val="auto"/>
          <w:sz w:val="28"/>
          <w:szCs w:val="21"/>
          <w:highlight w:val="none"/>
        </w:rPr>
        <w:tab/>
      </w:r>
    </w:p>
    <w:p>
      <w:pPr>
        <w:autoSpaceDN w:val="0"/>
        <w:spacing w:line="440" w:lineRule="exact"/>
        <w:ind w:left="-17" w:leftChars="-8" w:firstLine="18"/>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四</w:t>
      </w:r>
      <w:r>
        <w:rPr>
          <w:rFonts w:hint="eastAsia" w:asciiTheme="minorEastAsia" w:hAnsiTheme="minorEastAsia" w:eastAsiaTheme="minorEastAsia" w:cstheme="minorEastAsia"/>
          <w:color w:val="auto"/>
          <w:sz w:val="28"/>
          <w:szCs w:val="28"/>
          <w:highlight w:val="none"/>
        </w:rPr>
        <w:t xml:space="preserve">、递交响应文件时间及地点  </w:t>
      </w:r>
    </w:p>
    <w:p>
      <w:pPr>
        <w:autoSpaceDN w:val="0"/>
        <w:spacing w:line="440" w:lineRule="exact"/>
        <w:ind w:left="-17" w:leftChars="-8" w:firstLine="18"/>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1.时间：2021年</w:t>
      </w:r>
      <w:r>
        <w:rPr>
          <w:rFonts w:hint="eastAsia" w:asciiTheme="minorEastAsia" w:hAnsiTheme="minorEastAsia" w:eastAsia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23</w:t>
      </w: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09</w:t>
      </w:r>
      <w:r>
        <w:rPr>
          <w:rFonts w:hint="eastAsia" w:asciiTheme="minorEastAsia" w:hAnsiTheme="minorEastAsia" w:eastAsiaTheme="minorEastAsia" w:cstheme="minorEastAsia"/>
          <w:color w:val="auto"/>
          <w:sz w:val="28"/>
          <w:szCs w:val="28"/>
          <w:highlight w:val="none"/>
        </w:rPr>
        <w:t>时</w:t>
      </w:r>
      <w:r>
        <w:rPr>
          <w:rFonts w:hint="eastAsia" w:asciiTheme="minorEastAsia" w:hAnsiTheme="minorEastAsia" w:eastAsiaTheme="minorEastAsia" w:cstheme="minorEastAsia"/>
          <w:color w:val="auto"/>
          <w:sz w:val="28"/>
          <w:szCs w:val="28"/>
          <w:highlight w:val="none"/>
          <w:lang w:val="en-US" w:eastAsia="zh-CN"/>
        </w:rPr>
        <w:t>0</w:t>
      </w:r>
      <w:r>
        <w:rPr>
          <w:rFonts w:hint="eastAsia" w:asciiTheme="minorEastAsia" w:hAnsiTheme="minorEastAsia" w:eastAsiaTheme="minorEastAsia" w:cstheme="minorEastAsia"/>
          <w:color w:val="auto"/>
          <w:sz w:val="28"/>
          <w:szCs w:val="28"/>
          <w:highlight w:val="none"/>
        </w:rPr>
        <w:t>0分至2021年</w:t>
      </w:r>
      <w:r>
        <w:rPr>
          <w:rFonts w:hint="eastAsia" w:asciiTheme="minorEastAsia" w:hAnsiTheme="minorEastAsia" w:eastAsia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23</w:t>
      </w: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09</w:t>
      </w:r>
      <w:r>
        <w:rPr>
          <w:rFonts w:hint="eastAsia" w:asciiTheme="minorEastAsia" w:hAnsiTheme="minorEastAsia" w:eastAsiaTheme="minorEastAsia" w:cstheme="minorEastAsia"/>
          <w:color w:val="auto"/>
          <w:sz w:val="28"/>
          <w:szCs w:val="28"/>
          <w:highlight w:val="none"/>
        </w:rPr>
        <w:t xml:space="preserve">时30分（北京时间）  </w:t>
      </w:r>
    </w:p>
    <w:p>
      <w:pPr>
        <w:autoSpaceDN w:val="0"/>
        <w:spacing w:line="440" w:lineRule="exact"/>
        <w:ind w:left="-17" w:leftChars="-8" w:firstLine="18"/>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2.地点：</w:t>
      </w:r>
      <w:r>
        <w:rPr>
          <w:rFonts w:hint="eastAsia" w:asciiTheme="minorEastAsia" w:hAnsiTheme="minorEastAsia" w:eastAsiaTheme="minorEastAsia" w:cstheme="minorEastAsia"/>
          <w:bCs/>
          <w:color w:val="auto"/>
          <w:sz w:val="28"/>
          <w:szCs w:val="28"/>
          <w:highlight w:val="none"/>
        </w:rPr>
        <w:t>临沂市兰山区涑河南街与八蜡庙街交汇处瑞联温州街C区620</w:t>
      </w:r>
      <w:r>
        <w:rPr>
          <w:rFonts w:hint="eastAsia" w:asciiTheme="minorEastAsia" w:hAnsiTheme="minorEastAsia" w:eastAsiaTheme="minorEastAsia" w:cstheme="minorEastAsia"/>
          <w:color w:val="auto"/>
          <w:sz w:val="28"/>
          <w:szCs w:val="28"/>
          <w:highlight w:val="none"/>
        </w:rPr>
        <w:t>室</w:t>
      </w:r>
    </w:p>
    <w:p>
      <w:pPr>
        <w:autoSpaceDN w:val="0"/>
        <w:spacing w:line="440" w:lineRule="exact"/>
        <w:ind w:left="-17" w:leftChars="-8" w:firstLine="18"/>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五</w:t>
      </w:r>
      <w:r>
        <w:rPr>
          <w:rFonts w:hint="eastAsia" w:asciiTheme="minorEastAsia" w:hAnsiTheme="minorEastAsia" w:eastAsiaTheme="minorEastAsia" w:cstheme="minorEastAsia"/>
          <w:color w:val="auto"/>
          <w:sz w:val="28"/>
          <w:szCs w:val="28"/>
          <w:highlight w:val="none"/>
        </w:rPr>
        <w:t xml:space="preserve">、磋商时间及地点  </w:t>
      </w:r>
    </w:p>
    <w:p>
      <w:pPr>
        <w:autoSpaceDN w:val="0"/>
        <w:spacing w:line="440" w:lineRule="exact"/>
        <w:ind w:left="-17" w:leftChars="-8" w:firstLine="18"/>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1.时间：2021年</w:t>
      </w:r>
      <w:r>
        <w:rPr>
          <w:rFonts w:hint="eastAsia" w:asciiTheme="minorEastAsia" w:hAnsiTheme="minorEastAsia" w:eastAsia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23</w:t>
      </w: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09</w:t>
      </w:r>
      <w:r>
        <w:rPr>
          <w:rFonts w:hint="eastAsia" w:asciiTheme="minorEastAsia" w:hAnsiTheme="minorEastAsia" w:eastAsiaTheme="minorEastAsia" w:cstheme="minorEastAsia"/>
          <w:color w:val="auto"/>
          <w:sz w:val="28"/>
          <w:szCs w:val="28"/>
          <w:highlight w:val="none"/>
        </w:rPr>
        <w:t xml:space="preserve">时30分（北京时间）  </w:t>
      </w:r>
    </w:p>
    <w:p>
      <w:pPr>
        <w:autoSpaceDN w:val="0"/>
        <w:spacing w:line="440" w:lineRule="exact"/>
        <w:ind w:left="-17" w:leftChars="-8" w:firstLine="18"/>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2.地点：</w:t>
      </w:r>
      <w:r>
        <w:rPr>
          <w:rFonts w:hint="eastAsia" w:asciiTheme="minorEastAsia" w:hAnsiTheme="minorEastAsia" w:eastAsiaTheme="minorEastAsia" w:cstheme="minorEastAsia"/>
          <w:bCs/>
          <w:color w:val="auto"/>
          <w:sz w:val="28"/>
          <w:szCs w:val="28"/>
          <w:highlight w:val="none"/>
        </w:rPr>
        <w:t>临沂市兰山区涑河南街与八蜡庙街交汇处瑞联温州街C区620</w:t>
      </w:r>
      <w:r>
        <w:rPr>
          <w:rFonts w:hint="eastAsia" w:asciiTheme="minorEastAsia" w:hAnsiTheme="minorEastAsia" w:eastAsiaTheme="minorEastAsia" w:cstheme="minorEastAsia"/>
          <w:color w:val="auto"/>
          <w:sz w:val="28"/>
          <w:szCs w:val="28"/>
          <w:highlight w:val="none"/>
        </w:rPr>
        <w:t>室</w:t>
      </w:r>
    </w:p>
    <w:p>
      <w:pPr>
        <w:autoSpaceDN w:val="0"/>
        <w:spacing w:line="440" w:lineRule="exact"/>
        <w:ind w:left="-17" w:leftChars="-8" w:firstLine="18"/>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六</w:t>
      </w:r>
      <w:r>
        <w:rPr>
          <w:rFonts w:hint="eastAsia" w:asciiTheme="minorEastAsia" w:hAnsiTheme="minorEastAsia" w:eastAsiaTheme="minorEastAsia" w:cstheme="minorEastAsia"/>
          <w:color w:val="auto"/>
          <w:sz w:val="28"/>
          <w:szCs w:val="28"/>
          <w:highlight w:val="none"/>
        </w:rPr>
        <w:t xml:space="preserve">、采购项目联系方式： </w:t>
      </w:r>
    </w:p>
    <w:p>
      <w:pPr>
        <w:autoSpaceDN w:val="0"/>
        <w:spacing w:line="440" w:lineRule="exact"/>
        <w:ind w:left="-17" w:leftChars="-8" w:firstLine="18"/>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联系人：武工          联系方式：13969913303</w:t>
      </w:r>
    </w:p>
    <w:p>
      <w:pPr>
        <w:autoSpaceDN w:val="0"/>
        <w:spacing w:line="440" w:lineRule="exact"/>
        <w:ind w:left="-17" w:leftChars="-8" w:firstLine="18"/>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七</w:t>
      </w:r>
      <w:r>
        <w:rPr>
          <w:rFonts w:hint="eastAsia" w:asciiTheme="minorEastAsia" w:hAnsiTheme="minorEastAsia" w:eastAsiaTheme="minorEastAsia" w:cstheme="minorEastAsia"/>
          <w:color w:val="auto"/>
          <w:sz w:val="28"/>
          <w:szCs w:val="28"/>
          <w:highlight w:val="none"/>
        </w:rPr>
        <w:t>、采购项目的用途、数量、简要技术要求等</w:t>
      </w:r>
    </w:p>
    <w:p>
      <w:pPr>
        <w:autoSpaceDN w:val="0"/>
        <w:spacing w:line="440" w:lineRule="exact"/>
        <w:ind w:left="-17" w:leftChars="-8" w:firstLine="18"/>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详见磋商文件。</w:t>
      </w:r>
    </w:p>
    <w:p>
      <w:pPr>
        <w:autoSpaceDN w:val="0"/>
        <w:spacing w:line="440" w:lineRule="exact"/>
        <w:ind w:left="-17" w:leftChars="-8" w:firstLine="18"/>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八</w:t>
      </w:r>
      <w:r>
        <w:rPr>
          <w:rFonts w:hint="eastAsia" w:asciiTheme="minorEastAsia" w:hAnsiTheme="minorEastAsia" w:eastAsiaTheme="minorEastAsia" w:cstheme="minorEastAsia"/>
          <w:color w:val="auto"/>
          <w:sz w:val="28"/>
          <w:szCs w:val="28"/>
          <w:highlight w:val="none"/>
        </w:rPr>
        <w:t>、采购项目需要落实的政府采购政策</w:t>
      </w:r>
    </w:p>
    <w:p>
      <w:pPr>
        <w:autoSpaceDN w:val="0"/>
        <w:spacing w:line="440" w:lineRule="exact"/>
        <w:ind w:left="-17" w:leftChars="-8" w:firstLine="18"/>
        <w:jc w:val="left"/>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详见磋商文件。</w:t>
      </w:r>
    </w:p>
    <w:p>
      <w:pPr>
        <w:pStyle w:val="2"/>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2"/>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2"/>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2"/>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2"/>
        <w:rPr>
          <w:rFonts w:hint="eastAsia" w:asciiTheme="minorEastAsia" w:hAnsiTheme="minorEastAsia" w:eastAsiaTheme="minorEastAsia" w:cstheme="minorEastAsia"/>
          <w:color w:val="auto"/>
          <w:sz w:val="28"/>
          <w:szCs w:val="28"/>
          <w:highlight w:val="none"/>
        </w:rPr>
      </w:pPr>
    </w:p>
    <w:p>
      <w:pPr>
        <w:rPr>
          <w:rFonts w:hint="eastAsia" w:asciiTheme="minorEastAsia" w:hAnsiTheme="minorEastAsia" w:eastAsiaTheme="minorEastAsia" w:cstheme="minorEastAsia"/>
          <w:color w:val="auto"/>
          <w:sz w:val="28"/>
          <w:szCs w:val="28"/>
          <w:highlight w:val="none"/>
        </w:rPr>
      </w:pPr>
    </w:p>
    <w:p>
      <w:pPr>
        <w:pStyle w:val="2"/>
        <w:rPr>
          <w:rFonts w:hint="eastAsia"/>
          <w:color w:val="auto"/>
          <w:highlight w:val="none"/>
        </w:rPr>
      </w:pPr>
    </w:p>
    <w:p>
      <w:pPr>
        <w:pStyle w:val="2"/>
        <w:rPr>
          <w:rFonts w:hint="eastAsia"/>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3"/>
        <w:snapToGrid w:val="0"/>
        <w:spacing w:line="360" w:lineRule="auto"/>
        <w:jc w:val="center"/>
        <w:rPr>
          <w:color w:val="auto"/>
          <w:sz w:val="36"/>
          <w:szCs w:val="21"/>
          <w:highlight w:val="none"/>
        </w:rPr>
      </w:pPr>
      <w:r>
        <w:rPr>
          <w:rFonts w:hint="eastAsia"/>
          <w:color w:val="auto"/>
          <w:sz w:val="36"/>
          <w:szCs w:val="21"/>
          <w:highlight w:val="none"/>
        </w:rPr>
        <w:t>第二章  供应商须知</w:t>
      </w:r>
    </w:p>
    <w:p>
      <w:pPr>
        <w:jc w:val="center"/>
        <w:rPr>
          <w:b/>
          <w:bCs/>
          <w:color w:val="auto"/>
          <w:sz w:val="32"/>
          <w:szCs w:val="32"/>
          <w:highlight w:val="none"/>
        </w:rPr>
      </w:pPr>
      <w:r>
        <w:rPr>
          <w:rFonts w:hint="eastAsia"/>
          <w:b/>
          <w:bCs/>
          <w:color w:val="auto"/>
          <w:sz w:val="32"/>
          <w:szCs w:val="32"/>
          <w:highlight w:val="none"/>
        </w:rPr>
        <w:t>供应商须知前附表</w:t>
      </w:r>
    </w:p>
    <w:tbl>
      <w:tblPr>
        <w:tblStyle w:val="17"/>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67"/>
        <w:gridCol w:w="1483"/>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40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序号</w:t>
            </w: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40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项　　目</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400" w:lineRule="exact"/>
              <w:ind w:firstLine="2530" w:firstLineChars="90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833" w:type="dxa"/>
            <w:vMerge w:val="restart"/>
            <w:tcBorders>
              <w:top w:val="single" w:color="auto" w:sz="4" w:space="0"/>
              <w:left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667" w:type="dxa"/>
            <w:vMerge w:val="restart"/>
            <w:tcBorders>
              <w:top w:val="single" w:color="auto" w:sz="4" w:space="0"/>
              <w:left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概况</w:t>
            </w:r>
          </w:p>
        </w:tc>
        <w:tc>
          <w:tcPr>
            <w:tcW w:w="1483"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项目名称及编号</w:t>
            </w:r>
          </w:p>
        </w:tc>
        <w:tc>
          <w:tcPr>
            <w:tcW w:w="6828" w:type="dxa"/>
            <w:tcBorders>
              <w:top w:val="single" w:color="auto" w:sz="4" w:space="0"/>
              <w:left w:val="single" w:color="auto" w:sz="4" w:space="0"/>
              <w:bottom w:val="single" w:color="auto" w:sz="4" w:space="0"/>
              <w:right w:val="single" w:color="auto" w:sz="4" w:space="0"/>
            </w:tcBorders>
            <w:noWrap/>
            <w:vAlign w:val="center"/>
          </w:tcPr>
          <w:p>
            <w:pPr>
              <w:pStyle w:val="30"/>
              <w:spacing w:before="143"/>
              <w:rPr>
                <w:rFonts w:hint="eastAsia" w:eastAsia="宋体"/>
                <w:color w:val="auto"/>
                <w:sz w:val="28"/>
                <w:szCs w:val="21"/>
                <w:highlight w:val="none"/>
                <w:lang w:eastAsia="zh-CN"/>
              </w:rPr>
            </w:pPr>
            <w:r>
              <w:rPr>
                <w:color w:val="auto"/>
                <w:sz w:val="28"/>
                <w:szCs w:val="21"/>
                <w:highlight w:val="none"/>
              </w:rPr>
              <w:t>项目名称：</w:t>
            </w:r>
            <w:r>
              <w:rPr>
                <w:rFonts w:hint="eastAsia"/>
                <w:color w:val="auto"/>
                <w:sz w:val="28"/>
                <w:szCs w:val="21"/>
                <w:highlight w:val="none"/>
                <w:lang w:eastAsia="zh-CN"/>
              </w:rPr>
              <w:t>山东省临沂卫生学校扩建项目图书信息综合楼工程-YT保温采购项目</w:t>
            </w:r>
          </w:p>
          <w:p>
            <w:pPr>
              <w:widowControl/>
              <w:snapToGrid w:val="0"/>
              <w:spacing w:line="360" w:lineRule="auto"/>
              <w:jc w:val="left"/>
              <w:rPr>
                <w:rFonts w:hint="eastAsia" w:eastAsia="宋体" w:asciiTheme="minorEastAsia" w:hAnsiTheme="minorEastAsia" w:cstheme="minorEastAsia"/>
                <w:color w:val="auto"/>
                <w:sz w:val="28"/>
                <w:szCs w:val="28"/>
                <w:highlight w:val="none"/>
                <w:lang w:eastAsia="zh-CN"/>
              </w:rPr>
            </w:pPr>
            <w:r>
              <w:rPr>
                <w:color w:val="auto"/>
                <w:sz w:val="28"/>
                <w:szCs w:val="21"/>
                <w:highlight w:val="none"/>
              </w:rPr>
              <w:t>项目编号：</w:t>
            </w:r>
            <w:r>
              <w:rPr>
                <w:rFonts w:hint="eastAsia"/>
                <w:color w:val="auto"/>
                <w:sz w:val="28"/>
                <w:szCs w:val="21"/>
                <w:highlight w:val="none"/>
                <w:lang w:eastAsia="zh-CN"/>
              </w:rPr>
              <w:t>SDHFCG-2021018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3"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color w:val="auto"/>
                <w:sz w:val="28"/>
                <w:szCs w:val="28"/>
                <w:highlight w:val="none"/>
              </w:rPr>
            </w:pPr>
          </w:p>
        </w:tc>
        <w:tc>
          <w:tcPr>
            <w:tcW w:w="667"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color w:val="auto"/>
                <w:sz w:val="28"/>
                <w:szCs w:val="28"/>
                <w:highlight w:val="none"/>
              </w:rPr>
            </w:pPr>
          </w:p>
        </w:tc>
        <w:tc>
          <w:tcPr>
            <w:tcW w:w="1483" w:type="dxa"/>
            <w:tcBorders>
              <w:top w:val="single" w:color="auto" w:sz="4" w:space="0"/>
              <w:left w:val="single" w:color="auto" w:sz="4" w:space="0"/>
              <w:right w:val="single" w:color="auto" w:sz="4" w:space="0"/>
            </w:tcBorders>
            <w:noWrap/>
            <w:vAlign w:val="center"/>
          </w:tcPr>
          <w:p>
            <w:pPr>
              <w:tabs>
                <w:tab w:val="left" w:pos="3122"/>
              </w:tabs>
              <w:spacing w:line="360" w:lineRule="exact"/>
              <w:ind w:right="-573" w:rightChars="-273" w:firstLine="141" w:firstLineChars="5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采 购 人</w:t>
            </w:r>
          </w:p>
        </w:tc>
        <w:tc>
          <w:tcPr>
            <w:tcW w:w="6828" w:type="dxa"/>
            <w:tcBorders>
              <w:top w:val="single" w:color="auto" w:sz="4" w:space="0"/>
              <w:left w:val="single" w:color="auto" w:sz="4" w:space="0"/>
              <w:right w:val="single" w:color="auto" w:sz="4" w:space="0"/>
            </w:tcBorders>
            <w:noWrap/>
            <w:vAlign w:val="center"/>
          </w:tcPr>
          <w:p>
            <w:pPr>
              <w:widowControl/>
              <w:snapToGrid w:val="0"/>
              <w:spacing w:line="360" w:lineRule="auto"/>
              <w:rPr>
                <w:rFonts w:hint="eastAsia" w:asciiTheme="minorEastAsia" w:hAnsiTheme="minorEastAsia" w:eastAsiaTheme="minorEastAsia" w:cstheme="minorEastAsia"/>
                <w:color w:val="auto"/>
                <w:sz w:val="28"/>
                <w:szCs w:val="28"/>
                <w:highlight w:val="none"/>
                <w:lang w:eastAsia="zh-CN"/>
              </w:rPr>
            </w:pPr>
            <w:r>
              <w:rPr>
                <w:rFonts w:hint="eastAsia" w:eastAsiaTheme="minorEastAsia"/>
                <w:color w:val="auto"/>
                <w:sz w:val="28"/>
                <w:szCs w:val="21"/>
                <w:highlight w:val="none"/>
                <w:lang w:eastAsia="zh-CN"/>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9" w:hRule="atLeast"/>
          <w:jc w:val="center"/>
        </w:trPr>
        <w:tc>
          <w:tcPr>
            <w:tcW w:w="833"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color w:val="auto"/>
                <w:sz w:val="28"/>
                <w:szCs w:val="28"/>
                <w:highlight w:val="none"/>
              </w:rPr>
            </w:pPr>
          </w:p>
        </w:tc>
        <w:tc>
          <w:tcPr>
            <w:tcW w:w="667"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color w:val="auto"/>
                <w:sz w:val="28"/>
                <w:szCs w:val="28"/>
                <w:highlight w:val="none"/>
              </w:rPr>
            </w:pPr>
          </w:p>
        </w:tc>
        <w:tc>
          <w:tcPr>
            <w:tcW w:w="1483" w:type="dxa"/>
            <w:tcBorders>
              <w:top w:val="single" w:color="auto" w:sz="4" w:space="0"/>
              <w:left w:val="single" w:color="auto" w:sz="4" w:space="0"/>
              <w:right w:val="single" w:color="auto" w:sz="4" w:space="0"/>
            </w:tcBorders>
            <w:noWrap/>
            <w:vAlign w:val="center"/>
          </w:tcPr>
          <w:p>
            <w:pPr>
              <w:tabs>
                <w:tab w:val="left" w:pos="3122"/>
              </w:tabs>
              <w:spacing w:line="360" w:lineRule="exact"/>
              <w:ind w:right="-573" w:rightChars="-273" w:firstLine="141" w:firstLineChars="50"/>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代理机构</w:t>
            </w:r>
          </w:p>
        </w:tc>
        <w:tc>
          <w:tcPr>
            <w:tcW w:w="6828" w:type="dxa"/>
            <w:tcBorders>
              <w:top w:val="single" w:color="auto" w:sz="4" w:space="0"/>
              <w:left w:val="single" w:color="auto" w:sz="4" w:space="0"/>
              <w:right w:val="single" w:color="auto" w:sz="4" w:space="0"/>
            </w:tcBorders>
            <w:noWrap/>
            <w:vAlign w:val="center"/>
          </w:tcPr>
          <w:p>
            <w:pPr>
              <w:widowControl/>
              <w:snapToGrid w:val="0"/>
              <w:spacing w:line="360" w:lineRule="auto"/>
              <w:jc w:val="left"/>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采购代理机构：山东华方项目管理有限公司</w:t>
            </w:r>
          </w:p>
          <w:p>
            <w:pPr>
              <w:widowControl/>
              <w:snapToGrid w:val="0"/>
              <w:spacing w:line="360" w:lineRule="auto"/>
              <w:jc w:val="left"/>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 xml:space="preserve">地址：临沂市兰山区涑河南街与八蜡庙街交汇处瑞联温州街C区620区  </w:t>
            </w:r>
          </w:p>
          <w:p>
            <w:pPr>
              <w:widowControl/>
              <w:snapToGrid w:val="0"/>
              <w:spacing w:line="360" w:lineRule="auto"/>
              <w:jc w:val="left"/>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联系人：武工</w:t>
            </w:r>
          </w:p>
          <w:p>
            <w:pPr>
              <w:widowControl/>
              <w:snapToGrid w:val="0"/>
              <w:spacing w:line="360" w:lineRule="auto"/>
              <w:jc w:val="left"/>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联系方式：13969913303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采购方式</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资金来源</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资格审查</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both"/>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rPr>
              <w:t>资格</w:t>
            </w:r>
            <w:r>
              <w:rPr>
                <w:rFonts w:hint="eastAsia" w:asciiTheme="minorEastAsia" w:hAnsiTheme="minorEastAsia" w:eastAsiaTheme="minorEastAsia" w:cstheme="minorEastAsia"/>
                <w:b/>
                <w:bCs/>
                <w:color w:val="auto"/>
                <w:sz w:val="28"/>
                <w:szCs w:val="28"/>
                <w:highlight w:val="none"/>
                <w:lang w:val="en-US" w:eastAsia="zh-CN"/>
              </w:rPr>
              <w:t>后</w:t>
            </w:r>
            <w:r>
              <w:rPr>
                <w:rFonts w:hint="eastAsia" w:asciiTheme="minorEastAsia" w:hAnsiTheme="minorEastAsia" w:eastAsiaTheme="minorEastAsia" w:cstheme="minorEastAsia"/>
                <w:b/>
                <w:bCs/>
                <w:color w:val="auto"/>
                <w:sz w:val="28"/>
                <w:szCs w:val="28"/>
                <w:highlight w:val="none"/>
              </w:rPr>
              <w:t>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施工工期</w:t>
            </w:r>
          </w:p>
        </w:tc>
        <w:tc>
          <w:tcPr>
            <w:tcW w:w="682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both"/>
              <w:rPr>
                <w:rFonts w:hint="default"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t>35日历天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质保期</w:t>
            </w:r>
          </w:p>
        </w:tc>
        <w:tc>
          <w:tcPr>
            <w:tcW w:w="682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both"/>
              <w:rPr>
                <w:rFonts w:hint="default" w:asciiTheme="minorEastAsia" w:hAnsiTheme="minorEastAsia" w:eastAsiaTheme="minorEastAsia" w:cstheme="minorEastAsia"/>
                <w:b/>
                <w:bCs w:val="0"/>
                <w:color w:val="auto"/>
                <w:sz w:val="28"/>
                <w:szCs w:val="28"/>
                <w:highlight w:val="none"/>
                <w:lang w:val="en-US" w:eastAsia="zh-CN"/>
              </w:rPr>
            </w:pPr>
            <w:r>
              <w:rPr>
                <w:rFonts w:hint="eastAsia" w:asciiTheme="minorEastAsia" w:hAnsiTheme="minorEastAsia" w:eastAsiaTheme="minorEastAsia" w:cstheme="minorEastAsia"/>
                <w:b/>
                <w:bCs w:val="0"/>
                <w:color w:val="auto"/>
                <w:sz w:val="28"/>
                <w:szCs w:val="28"/>
                <w:highlight w:val="none"/>
                <w:lang w:val="en-US" w:eastAsia="zh-CN"/>
              </w:rPr>
              <w:t>五年，外保温工程正常使用年限不少于25年。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质量及验收</w:t>
            </w:r>
          </w:p>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标准</w:t>
            </w:r>
          </w:p>
        </w:tc>
        <w:tc>
          <w:tcPr>
            <w:tcW w:w="6828" w:type="dxa"/>
            <w:tcBorders>
              <w:top w:val="single" w:color="auto" w:sz="4" w:space="0"/>
              <w:left w:val="single" w:color="auto" w:sz="4" w:space="0"/>
              <w:bottom w:val="single" w:color="auto" w:sz="4" w:space="0"/>
              <w:right w:val="single" w:color="auto" w:sz="4" w:space="0"/>
            </w:tcBorders>
            <w:noWrap/>
            <w:vAlign w:val="center"/>
          </w:tcPr>
          <w:p>
            <w:pPr>
              <w:widowControl/>
              <w:ind w:firstLine="562" w:firstLineChars="200"/>
              <w:rPr>
                <w:rFonts w:hint="eastAsia" w:asciiTheme="minorEastAsia" w:hAnsiTheme="minorEastAsia" w:eastAsiaTheme="minorEastAsia" w:cstheme="minorEastAsia"/>
                <w:b/>
                <w:bCs w:val="0"/>
                <w:color w:val="auto"/>
                <w:sz w:val="28"/>
                <w:szCs w:val="28"/>
                <w:highlight w:val="none"/>
                <w:lang w:val="en-US" w:eastAsia="zh-CN"/>
              </w:rPr>
            </w:pPr>
            <w:r>
              <w:rPr>
                <w:rFonts w:hint="eastAsia" w:ascii="宋体" w:hAnsi="宋体" w:eastAsia="宋体" w:cs="宋体"/>
                <w:b/>
                <w:bCs/>
                <w:color w:val="auto"/>
                <w:kern w:val="0"/>
                <w:sz w:val="28"/>
                <w:szCs w:val="28"/>
                <w:highlight w:val="none"/>
              </w:rPr>
              <w:t>执行国家现行标准及做法要求，达到国家有关验收规范规定的</w:t>
            </w:r>
            <w:r>
              <w:rPr>
                <w:rFonts w:hint="eastAsia" w:ascii="宋体" w:hAnsi="宋体" w:eastAsia="宋体" w:cs="宋体"/>
                <w:b/>
                <w:bCs/>
                <w:color w:val="auto"/>
                <w:kern w:val="0"/>
                <w:sz w:val="28"/>
                <w:szCs w:val="28"/>
                <w:highlight w:val="none"/>
                <w:lang w:val="en-US" w:eastAsia="zh-CN"/>
              </w:rPr>
              <w:t>市优</w:t>
            </w:r>
            <w:r>
              <w:rPr>
                <w:rFonts w:hint="eastAsia" w:ascii="宋体" w:hAnsi="宋体" w:eastAsia="宋体" w:cs="宋体"/>
                <w:b/>
                <w:bCs/>
                <w:color w:val="auto"/>
                <w:kern w:val="0"/>
                <w:sz w:val="28"/>
                <w:szCs w:val="28"/>
                <w:highlight w:val="none"/>
              </w:rPr>
              <w:t>标准。</w:t>
            </w:r>
            <w:r>
              <w:rPr>
                <w:rFonts w:hint="eastAsia" w:ascii="宋体" w:hAnsi="宋体" w:eastAsia="宋体" w:cs="宋体"/>
                <w:b/>
                <w:bCs/>
                <w:color w:val="auto"/>
                <w:kern w:val="0"/>
                <w:sz w:val="28"/>
                <w:szCs w:val="28"/>
                <w:highlight w:val="none"/>
                <w:lang w:val="en-US" w:eastAsia="zh-CN"/>
              </w:rPr>
              <w:t>YT保温材料防火等级满足A级防火要求，施工材料检测合格，施工质量通过节能验收及竣工验收要求。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投标保证金</w:t>
            </w:r>
          </w:p>
        </w:tc>
        <w:tc>
          <w:tcPr>
            <w:tcW w:w="682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磋商保证金数额：￥</w:t>
            </w:r>
            <w:r>
              <w:rPr>
                <w:rFonts w:hint="eastAsia" w:asciiTheme="minorEastAsia" w:hAnsiTheme="minorEastAsia" w:eastAsiaTheme="minorEastAsia" w:cstheme="minorEastAsia"/>
                <w:bCs/>
                <w:color w:val="auto"/>
                <w:sz w:val="28"/>
                <w:szCs w:val="28"/>
                <w:highlight w:val="none"/>
                <w:lang w:val="en-US" w:eastAsia="zh-CN"/>
              </w:rPr>
              <w:t>5</w:t>
            </w:r>
            <w:r>
              <w:rPr>
                <w:rFonts w:hint="eastAsia" w:asciiTheme="minorEastAsia" w:hAnsiTheme="minorEastAsia" w:eastAsiaTheme="minorEastAsia" w:cstheme="minorEastAsia"/>
                <w:bCs/>
                <w:color w:val="auto"/>
                <w:sz w:val="28"/>
                <w:szCs w:val="28"/>
                <w:highlight w:val="none"/>
              </w:rPr>
              <w:t>00</w:t>
            </w:r>
            <w:r>
              <w:rPr>
                <w:rFonts w:hint="eastAsia" w:asciiTheme="minorEastAsia" w:hAnsiTheme="minorEastAsia" w:eastAsiaTheme="minorEastAsia" w:cstheme="minorEastAsia"/>
                <w:bCs/>
                <w:color w:val="auto"/>
                <w:sz w:val="28"/>
                <w:szCs w:val="28"/>
                <w:highlight w:val="none"/>
                <w:lang w:val="en-US" w:eastAsia="zh-CN"/>
              </w:rPr>
              <w:t>0</w:t>
            </w:r>
            <w:r>
              <w:rPr>
                <w:rFonts w:hint="eastAsia" w:asciiTheme="minorEastAsia" w:hAnsiTheme="minorEastAsia" w:eastAsiaTheme="minorEastAsia" w:cstheme="minorEastAsia"/>
                <w:bCs/>
                <w:color w:val="auto"/>
                <w:sz w:val="28"/>
                <w:szCs w:val="28"/>
                <w:highlight w:val="none"/>
              </w:rPr>
              <w:t>0元（大写：</w:t>
            </w:r>
            <w:r>
              <w:rPr>
                <w:rFonts w:hint="eastAsia" w:asciiTheme="minorEastAsia" w:hAnsiTheme="minorEastAsia" w:eastAsiaTheme="minorEastAsia" w:cstheme="minorEastAsia"/>
                <w:bCs/>
                <w:color w:val="auto"/>
                <w:sz w:val="28"/>
                <w:szCs w:val="28"/>
                <w:highlight w:val="none"/>
                <w:lang w:val="en-US" w:eastAsia="zh-CN"/>
              </w:rPr>
              <w:t>伍万</w:t>
            </w:r>
            <w:r>
              <w:rPr>
                <w:rFonts w:hint="eastAsia" w:asciiTheme="minorEastAsia" w:hAnsiTheme="minorEastAsia" w:eastAsiaTheme="minorEastAsia" w:cstheme="minorEastAsia"/>
                <w:bCs/>
                <w:color w:val="auto"/>
                <w:sz w:val="28"/>
                <w:szCs w:val="28"/>
                <w:highlight w:val="none"/>
              </w:rPr>
              <w:t xml:space="preserve">元整 ） </w:t>
            </w:r>
          </w:p>
          <w:p>
            <w:pPr>
              <w:widowControl/>
              <w:snapToGrid w:val="0"/>
              <w:spacing w:line="360" w:lineRule="auto"/>
              <w:jc w:val="left"/>
              <w:rPr>
                <w:rFonts w:hint="eastAsia"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投标保证金的形式：</w:t>
            </w:r>
            <w:r>
              <w:rPr>
                <w:rFonts w:hint="eastAsia" w:asciiTheme="minorEastAsia" w:hAnsiTheme="minorEastAsia" w:eastAsiaTheme="minorEastAsia" w:cstheme="minorEastAsia"/>
                <w:bCs/>
                <w:color w:val="auto"/>
                <w:sz w:val="28"/>
                <w:szCs w:val="28"/>
                <w:highlight w:val="none"/>
                <w:lang w:eastAsia="zh-CN"/>
              </w:rPr>
              <w:t>根据</w:t>
            </w:r>
            <w:r>
              <w:rPr>
                <w:rFonts w:hint="eastAsia" w:asciiTheme="minorEastAsia" w:hAnsiTheme="minorEastAsia" w:eastAsiaTheme="minorEastAsia" w:cstheme="minorEastAsia"/>
                <w:bCs/>
                <w:color w:val="auto"/>
                <w:sz w:val="28"/>
                <w:szCs w:val="28"/>
                <w:highlight w:val="none"/>
              </w:rPr>
              <w:t>公司基本户以电汇，网银，转账支票支付，以现金支付的视为无效。磋商保证金于提交响应文件截止时间前交纳。</w:t>
            </w:r>
          </w:p>
          <w:p>
            <w:pPr>
              <w:widowControl/>
              <w:snapToGrid w:val="0"/>
              <w:spacing w:line="360" w:lineRule="auto"/>
              <w:jc w:val="left"/>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接收磋商保证金账户：山东华方项目管理有限公司</w:t>
            </w:r>
          </w:p>
          <w:p>
            <w:pPr>
              <w:widowControl/>
              <w:snapToGrid w:val="0"/>
              <w:spacing w:line="360" w:lineRule="auto"/>
              <w:jc w:val="left"/>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账号：800001202003300003825</w:t>
            </w:r>
          </w:p>
          <w:p>
            <w:pPr>
              <w:widowControl/>
              <w:snapToGrid w:val="0"/>
              <w:spacing w:line="360" w:lineRule="auto"/>
              <w:jc w:val="lef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Cs/>
                <w:color w:val="auto"/>
                <w:sz w:val="28"/>
                <w:szCs w:val="28"/>
                <w:highlight w:val="none"/>
              </w:rPr>
              <w:t>开户银行：临商银行滨海之行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付款方式</w:t>
            </w:r>
          </w:p>
        </w:tc>
        <w:tc>
          <w:tcPr>
            <w:tcW w:w="6828" w:type="dxa"/>
            <w:tcBorders>
              <w:top w:val="single" w:color="auto" w:sz="4" w:space="0"/>
              <w:left w:val="single" w:color="auto" w:sz="4" w:space="0"/>
              <w:bottom w:val="single" w:color="auto" w:sz="4" w:space="0"/>
              <w:right w:val="single" w:color="auto" w:sz="4" w:space="0"/>
            </w:tcBorders>
            <w:noWrap/>
          </w:tcPr>
          <w:p>
            <w:pP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val="0"/>
                <w:color w:val="auto"/>
                <w:sz w:val="28"/>
                <w:szCs w:val="28"/>
                <w:highlight w:val="none"/>
                <w:lang w:val="en-US" w:eastAsia="zh-CN"/>
              </w:rPr>
              <w:t>合同签订后，每月按工程形象进度的80%拨付进度款，工程竣工验收合格并经结算完成后付至结算价款的 97%，剩余3%为质保金，缺陷责任期满后无质量问题付至结算价100%。（缺陷责任期自工程通过竣工验收合格之日起计算）。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投标有效期</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tcPr>
          <w:p>
            <w:pPr>
              <w:pStyle w:val="30"/>
              <w:jc w:val="center"/>
              <w:rPr>
                <w:rFonts w:asciiTheme="minorEastAsia" w:hAnsiTheme="minorEastAsia" w:eastAsiaTheme="minorEastAsia" w:cstheme="minorEastAsia"/>
                <w:b/>
                <w:color w:val="auto"/>
                <w:sz w:val="28"/>
                <w:szCs w:val="28"/>
                <w:highlight w:val="none"/>
                <w:lang w:eastAsia="en-US"/>
              </w:rPr>
            </w:pPr>
            <w:r>
              <w:rPr>
                <w:rFonts w:hint="eastAsia" w:asciiTheme="minorEastAsia" w:hAnsiTheme="minorEastAsia" w:eastAsiaTheme="minorEastAsia" w:cstheme="minorEastAsia"/>
                <w:b/>
                <w:color w:val="auto"/>
                <w:sz w:val="28"/>
                <w:szCs w:val="28"/>
                <w:highlight w:val="none"/>
                <w:lang w:eastAsia="en-US"/>
              </w:rPr>
              <w:t>是否接受联合体投标</w:t>
            </w:r>
          </w:p>
        </w:tc>
        <w:tc>
          <w:tcPr>
            <w:tcW w:w="6828" w:type="dxa"/>
            <w:tcBorders>
              <w:top w:val="single" w:color="auto" w:sz="4" w:space="0"/>
              <w:left w:val="single" w:color="auto" w:sz="4" w:space="0"/>
              <w:bottom w:val="single" w:color="auto" w:sz="4" w:space="0"/>
              <w:right w:val="single" w:color="auto" w:sz="4" w:space="0"/>
            </w:tcBorders>
            <w:noWrap/>
          </w:tcPr>
          <w:p>
            <w:pPr>
              <w:pStyle w:val="30"/>
              <w:numPr>
                <w:ilvl w:val="0"/>
                <w:numId w:val="3"/>
              </w:numPr>
              <w:tabs>
                <w:tab w:val="left" w:pos="349"/>
              </w:tabs>
              <w:spacing w:before="1"/>
              <w:jc w:val="left"/>
              <w:rPr>
                <w:color w:val="auto"/>
                <w:sz w:val="28"/>
                <w:szCs w:val="21"/>
                <w:highlight w:val="none"/>
              </w:rPr>
            </w:pPr>
            <w:r>
              <w:rPr>
                <w:color w:val="auto"/>
                <w:sz w:val="28"/>
                <w:szCs w:val="21"/>
                <w:highlight w:val="none"/>
              </w:rPr>
              <w:t>不接受</w:t>
            </w:r>
          </w:p>
          <w:p>
            <w:pPr>
              <w:pStyle w:val="30"/>
              <w:spacing w:before="4" w:line="289" w:lineRule="exact"/>
              <w:ind w:left="107"/>
              <w:rPr>
                <w:rFonts w:asciiTheme="minorEastAsia" w:hAnsiTheme="minorEastAsia" w:eastAsiaTheme="minorEastAsia" w:cstheme="minorEastAsia"/>
                <w:color w:val="auto"/>
                <w:sz w:val="28"/>
                <w:szCs w:val="28"/>
                <w:highlight w:val="none"/>
              </w:rPr>
            </w:pPr>
            <w:r>
              <w:rPr>
                <w:color w:val="auto"/>
                <w:sz w:val="28"/>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pStyle w:val="30"/>
              <w:jc w:val="center"/>
              <w:rPr>
                <w:rFonts w:asciiTheme="minorEastAsia" w:hAnsiTheme="minorEastAsia" w:eastAsiaTheme="minorEastAsia" w:cstheme="minorEastAsia"/>
                <w:b/>
                <w:color w:val="auto"/>
                <w:sz w:val="28"/>
                <w:szCs w:val="28"/>
                <w:highlight w:val="none"/>
                <w:lang w:eastAsia="en-US"/>
              </w:rPr>
            </w:pPr>
            <w:r>
              <w:rPr>
                <w:rFonts w:hint="eastAsia" w:asciiTheme="minorEastAsia" w:hAnsiTheme="minorEastAsia" w:eastAsiaTheme="minorEastAsia" w:cstheme="minorEastAsia"/>
                <w:b/>
                <w:color w:val="auto"/>
                <w:sz w:val="28"/>
                <w:szCs w:val="28"/>
                <w:highlight w:val="none"/>
                <w:lang w:eastAsia="en-US"/>
              </w:rPr>
              <w:t>踏勘现场</w:t>
            </w:r>
          </w:p>
        </w:tc>
        <w:tc>
          <w:tcPr>
            <w:tcW w:w="6828" w:type="dxa"/>
            <w:tcBorders>
              <w:top w:val="single" w:color="auto" w:sz="4" w:space="0"/>
              <w:left w:val="single" w:color="auto" w:sz="4" w:space="0"/>
              <w:bottom w:val="single" w:color="auto" w:sz="4" w:space="0"/>
              <w:right w:val="single" w:color="auto" w:sz="4" w:space="0"/>
            </w:tcBorders>
            <w:noWrap/>
          </w:tcPr>
          <w:p>
            <w:pPr>
              <w:pStyle w:val="30"/>
              <w:numPr>
                <w:ilvl w:val="0"/>
                <w:numId w:val="4"/>
              </w:numPr>
              <w:tabs>
                <w:tab w:val="left" w:pos="349"/>
              </w:tabs>
              <w:spacing w:before="34"/>
              <w:jc w:val="left"/>
              <w:rPr>
                <w:color w:val="auto"/>
                <w:sz w:val="28"/>
                <w:szCs w:val="21"/>
                <w:highlight w:val="none"/>
              </w:rPr>
            </w:pPr>
            <w:r>
              <w:rPr>
                <w:color w:val="auto"/>
                <w:spacing w:val="5"/>
                <w:sz w:val="28"/>
                <w:szCs w:val="21"/>
                <w:highlight w:val="none"/>
              </w:rPr>
              <w:t>不组织</w:t>
            </w:r>
          </w:p>
          <w:p>
            <w:pPr>
              <w:pStyle w:val="30"/>
              <w:spacing w:before="31" w:line="288" w:lineRule="exact"/>
              <w:ind w:left="107"/>
              <w:rPr>
                <w:rFonts w:asciiTheme="minorEastAsia" w:hAnsiTheme="minorEastAsia" w:eastAsiaTheme="minorEastAsia" w:cstheme="minorEastAsia"/>
                <w:color w:val="auto"/>
                <w:sz w:val="28"/>
                <w:szCs w:val="28"/>
                <w:highlight w:val="none"/>
              </w:rPr>
            </w:pPr>
            <w:r>
              <w:rPr>
                <w:color w:val="auto"/>
                <w:sz w:val="28"/>
                <w:szCs w:val="21"/>
                <w:highlight w:val="none"/>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tcPr>
          <w:p>
            <w:pPr>
              <w:pStyle w:val="30"/>
              <w:spacing w:before="5"/>
              <w:rPr>
                <w:rFonts w:asciiTheme="minorEastAsia" w:hAnsiTheme="minorEastAsia" w:eastAsiaTheme="minorEastAsia" w:cstheme="minorEastAsia"/>
                <w:b/>
                <w:color w:val="auto"/>
                <w:sz w:val="28"/>
                <w:szCs w:val="28"/>
                <w:highlight w:val="none"/>
                <w:lang w:eastAsia="en-US"/>
              </w:rPr>
            </w:pPr>
          </w:p>
          <w:p>
            <w:pPr>
              <w:pStyle w:val="30"/>
              <w:tabs>
                <w:tab w:val="left" w:pos="486"/>
              </w:tabs>
              <w:ind w:left="6"/>
              <w:jc w:val="center"/>
              <w:rPr>
                <w:rFonts w:asciiTheme="minorEastAsia" w:hAnsiTheme="minorEastAsia" w:eastAsiaTheme="minorEastAsia" w:cstheme="minorEastAsia"/>
                <w:b/>
                <w:color w:val="auto"/>
                <w:sz w:val="28"/>
                <w:szCs w:val="28"/>
                <w:highlight w:val="none"/>
                <w:lang w:eastAsia="en-US"/>
              </w:rPr>
            </w:pPr>
            <w:r>
              <w:rPr>
                <w:rFonts w:hint="eastAsia" w:asciiTheme="minorEastAsia" w:hAnsiTheme="minorEastAsia" w:eastAsiaTheme="minorEastAsia" w:cstheme="minorEastAsia"/>
                <w:b/>
                <w:color w:val="auto"/>
                <w:sz w:val="28"/>
                <w:szCs w:val="28"/>
                <w:highlight w:val="none"/>
                <w:lang w:eastAsia="en-US"/>
              </w:rPr>
              <w:t>分</w:t>
            </w:r>
            <w:r>
              <w:rPr>
                <w:rFonts w:hint="eastAsia" w:asciiTheme="minorEastAsia" w:hAnsiTheme="minorEastAsia" w:eastAsiaTheme="minorEastAsia" w:cstheme="minorEastAsia"/>
                <w:b/>
                <w:color w:val="auto"/>
                <w:sz w:val="28"/>
                <w:szCs w:val="28"/>
                <w:highlight w:val="none"/>
                <w:lang w:eastAsia="en-US"/>
              </w:rPr>
              <w:tab/>
            </w:r>
            <w:r>
              <w:rPr>
                <w:rFonts w:hint="eastAsia" w:asciiTheme="minorEastAsia" w:hAnsiTheme="minorEastAsia" w:eastAsiaTheme="minorEastAsia" w:cstheme="minorEastAsia"/>
                <w:b/>
                <w:color w:val="auto"/>
                <w:sz w:val="28"/>
                <w:szCs w:val="28"/>
                <w:highlight w:val="none"/>
                <w:lang w:eastAsia="en-US"/>
              </w:rPr>
              <w:t>包</w:t>
            </w:r>
          </w:p>
        </w:tc>
        <w:tc>
          <w:tcPr>
            <w:tcW w:w="6828" w:type="dxa"/>
            <w:tcBorders>
              <w:top w:val="single" w:color="auto" w:sz="4" w:space="0"/>
              <w:left w:val="single" w:color="auto" w:sz="4" w:space="0"/>
              <w:bottom w:val="single" w:color="auto" w:sz="4" w:space="0"/>
              <w:right w:val="single" w:color="auto" w:sz="4" w:space="0"/>
            </w:tcBorders>
            <w:noWrap/>
          </w:tcPr>
          <w:p>
            <w:pPr>
              <w:pStyle w:val="30"/>
              <w:numPr>
                <w:ilvl w:val="0"/>
                <w:numId w:val="5"/>
              </w:numPr>
              <w:tabs>
                <w:tab w:val="left" w:pos="349"/>
              </w:tabs>
              <w:spacing w:before="1"/>
              <w:jc w:val="left"/>
              <w:rPr>
                <w:color w:val="auto"/>
                <w:sz w:val="28"/>
                <w:szCs w:val="21"/>
                <w:highlight w:val="none"/>
              </w:rPr>
            </w:pPr>
            <w:r>
              <w:rPr>
                <w:color w:val="auto"/>
                <w:spacing w:val="-11"/>
                <w:sz w:val="28"/>
                <w:szCs w:val="21"/>
                <w:highlight w:val="none"/>
              </w:rPr>
              <w:t>不允许</w:t>
            </w:r>
          </w:p>
          <w:p>
            <w:pPr>
              <w:pStyle w:val="30"/>
              <w:spacing w:before="98"/>
              <w:ind w:left="107"/>
              <w:rPr>
                <w:rFonts w:asciiTheme="minorEastAsia" w:hAnsiTheme="minorEastAsia" w:eastAsiaTheme="minorEastAsia" w:cstheme="minorEastAsia"/>
                <w:color w:val="auto"/>
                <w:sz w:val="28"/>
                <w:szCs w:val="28"/>
                <w:highlight w:val="none"/>
              </w:rPr>
            </w:pPr>
            <w:r>
              <w:rPr>
                <w:color w:val="auto"/>
                <w:sz w:val="28"/>
                <w:szCs w:val="21"/>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响应文件份数</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纸质版响应文件：正本一份，副本</w:t>
            </w:r>
            <w:r>
              <w:rPr>
                <w:rFonts w:hint="eastAsia" w:asciiTheme="minorEastAsia" w:hAnsiTheme="minorEastAsia" w:eastAsiaTheme="minorEastAsia" w:cstheme="minorEastAsia"/>
                <w:bCs/>
                <w:color w:val="auto"/>
                <w:sz w:val="28"/>
                <w:szCs w:val="28"/>
                <w:highlight w:val="none"/>
                <w:lang w:val="en-US" w:eastAsia="zh-CN"/>
              </w:rPr>
              <w:t>二</w:t>
            </w:r>
            <w:r>
              <w:rPr>
                <w:rFonts w:hint="eastAsia" w:asciiTheme="minorEastAsia" w:hAnsiTheme="minorEastAsia" w:eastAsiaTheme="minorEastAsia" w:cstheme="minorEastAsia"/>
                <w:bCs/>
                <w:color w:val="auto"/>
                <w:sz w:val="28"/>
                <w:szCs w:val="28"/>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投标截止及磋商</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400" w:lineRule="exact"/>
              <w:jc w:val="left"/>
              <w:rPr>
                <w:rFonts w:ascii="宋体" w:hAnsi="宋体" w:cs="宋体"/>
                <w:bCs/>
                <w:color w:val="auto"/>
                <w:kern w:val="11"/>
                <w:sz w:val="28"/>
                <w:szCs w:val="21"/>
                <w:highlight w:val="none"/>
              </w:rPr>
            </w:pPr>
            <w:r>
              <w:rPr>
                <w:rFonts w:ascii="宋体" w:hAnsi="宋体" w:cs="宋体"/>
                <w:bCs/>
                <w:color w:val="auto"/>
                <w:kern w:val="11"/>
                <w:sz w:val="28"/>
                <w:szCs w:val="21"/>
                <w:highlight w:val="none"/>
              </w:rPr>
              <w:t>1</w:t>
            </w:r>
            <w:r>
              <w:rPr>
                <w:rFonts w:hint="eastAsia" w:ascii="宋体" w:hAnsi="宋体" w:cs="宋体"/>
                <w:bCs/>
                <w:color w:val="auto"/>
                <w:kern w:val="11"/>
                <w:sz w:val="28"/>
                <w:szCs w:val="21"/>
                <w:highlight w:val="none"/>
              </w:rPr>
              <w:t>、日期：</w:t>
            </w:r>
            <w:r>
              <w:rPr>
                <w:rFonts w:hint="eastAsia" w:asciiTheme="minorEastAsia" w:hAnsiTheme="minorEastAsia" w:eastAsiaTheme="minorEastAsia" w:cstheme="minorEastAsia"/>
                <w:color w:val="auto"/>
                <w:sz w:val="28"/>
                <w:szCs w:val="28"/>
                <w:highlight w:val="none"/>
              </w:rPr>
              <w:t>2021年</w:t>
            </w:r>
            <w:r>
              <w:rPr>
                <w:rFonts w:hint="eastAsia" w:asciiTheme="minorEastAsia" w:hAnsiTheme="minorEastAsia" w:eastAsia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23</w:t>
            </w:r>
            <w:r>
              <w:rPr>
                <w:rFonts w:hint="eastAsia" w:asciiTheme="minorEastAsia" w:hAnsiTheme="minorEastAsia" w:eastAsiaTheme="minorEastAsia" w:cstheme="minorEastAsia"/>
                <w:color w:val="auto"/>
                <w:sz w:val="28"/>
                <w:szCs w:val="28"/>
                <w:highlight w:val="none"/>
              </w:rPr>
              <w:t>日</w:t>
            </w:r>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rPr>
              <w:t>时</w:t>
            </w:r>
            <w:r>
              <w:rPr>
                <w:rFonts w:hint="eastAsia" w:asciiTheme="minorEastAsia" w:hAnsiTheme="minorEastAsia" w:eastAsiaTheme="minorEastAsia" w:cstheme="minorEastAsia"/>
                <w:color w:val="auto"/>
                <w:sz w:val="28"/>
                <w:szCs w:val="28"/>
                <w:highlight w:val="none"/>
                <w:lang w:val="en-US" w:eastAsia="zh-CN"/>
              </w:rPr>
              <w:t>30</w:t>
            </w:r>
            <w:r>
              <w:rPr>
                <w:rFonts w:hint="eastAsia" w:asciiTheme="minorEastAsia" w:hAnsiTheme="minorEastAsia" w:eastAsiaTheme="minorEastAsia" w:cstheme="minorEastAsia"/>
                <w:color w:val="auto"/>
                <w:sz w:val="28"/>
                <w:szCs w:val="28"/>
                <w:highlight w:val="none"/>
              </w:rPr>
              <w:t>分（北京时间）；</w:t>
            </w:r>
          </w:p>
          <w:p>
            <w:pPr>
              <w:tabs>
                <w:tab w:val="left" w:pos="3122"/>
              </w:tabs>
              <w:spacing w:line="400" w:lineRule="exact"/>
              <w:jc w:val="left"/>
              <w:rPr>
                <w:rFonts w:ascii="宋体" w:hAnsi="宋体" w:cs="宋体"/>
                <w:bCs/>
                <w:color w:val="auto"/>
                <w:kern w:val="11"/>
                <w:sz w:val="28"/>
                <w:szCs w:val="21"/>
                <w:highlight w:val="none"/>
              </w:rPr>
            </w:pPr>
            <w:r>
              <w:rPr>
                <w:rFonts w:ascii="宋体" w:hAnsi="宋体" w:cs="宋体"/>
                <w:bCs/>
                <w:color w:val="auto"/>
                <w:kern w:val="11"/>
                <w:sz w:val="28"/>
                <w:szCs w:val="21"/>
                <w:highlight w:val="none"/>
              </w:rPr>
              <w:t>2</w:t>
            </w:r>
            <w:r>
              <w:rPr>
                <w:rFonts w:hint="eastAsia" w:ascii="宋体" w:hAnsi="宋体" w:cs="宋体"/>
                <w:bCs/>
                <w:color w:val="auto"/>
                <w:kern w:val="11"/>
                <w:sz w:val="28"/>
                <w:szCs w:val="21"/>
                <w:highlight w:val="none"/>
              </w:rPr>
              <w:t>、地点：</w:t>
            </w:r>
            <w:r>
              <w:rPr>
                <w:rFonts w:hint="eastAsia" w:asciiTheme="minorEastAsia" w:hAnsiTheme="minorEastAsia" w:eastAsiaTheme="minorEastAsia" w:cstheme="minorEastAsia"/>
                <w:color w:val="auto"/>
                <w:sz w:val="28"/>
                <w:szCs w:val="28"/>
                <w:highlight w:val="none"/>
              </w:rPr>
              <w:t>临沂市兰山区涑河南街与八蜡庙街交汇处瑞联温州街C区620室</w:t>
            </w:r>
            <w:r>
              <w:rPr>
                <w:rFonts w:hint="eastAsia" w:ascii="宋体" w:hAnsi="宋体" w:cs="宋体"/>
                <w:bCs/>
                <w:color w:val="auto"/>
                <w:kern w:val="11"/>
                <w:sz w:val="28"/>
                <w:szCs w:val="21"/>
                <w:highlight w:val="none"/>
              </w:rPr>
              <w:t>。</w:t>
            </w:r>
          </w:p>
          <w:p>
            <w:pPr>
              <w:tabs>
                <w:tab w:val="left" w:pos="3122"/>
              </w:tabs>
              <w:spacing w:line="400" w:lineRule="exact"/>
              <w:jc w:val="left"/>
              <w:rPr>
                <w:rFonts w:ascii="宋体" w:hAnsi="宋体" w:cs="宋体"/>
                <w:b/>
                <w:color w:val="auto"/>
                <w:kern w:val="11"/>
                <w:sz w:val="28"/>
                <w:szCs w:val="21"/>
                <w:highlight w:val="none"/>
              </w:rPr>
            </w:pPr>
            <w:r>
              <w:rPr>
                <w:rFonts w:ascii="宋体" w:hAnsi="宋体" w:cs="宋体"/>
                <w:b/>
                <w:color w:val="auto"/>
                <w:kern w:val="11"/>
                <w:sz w:val="28"/>
                <w:szCs w:val="21"/>
                <w:highlight w:val="none"/>
              </w:rPr>
              <w:t>3</w:t>
            </w:r>
            <w:r>
              <w:rPr>
                <w:rFonts w:hint="eastAsia" w:ascii="宋体" w:hAnsi="宋体" w:cs="宋体"/>
                <w:b/>
                <w:color w:val="auto"/>
                <w:kern w:val="11"/>
                <w:sz w:val="28"/>
                <w:szCs w:val="21"/>
                <w:highlight w:val="none"/>
              </w:rPr>
              <w:t>、需要递交的材料：</w:t>
            </w:r>
          </w:p>
          <w:p>
            <w:pPr>
              <w:tabs>
                <w:tab w:val="left" w:pos="3122"/>
              </w:tabs>
              <w:spacing w:line="400" w:lineRule="exact"/>
              <w:jc w:val="left"/>
              <w:rPr>
                <w:rFonts w:ascii="宋体" w:hAnsi="宋体" w:cs="宋体"/>
                <w:b/>
                <w:color w:val="auto"/>
                <w:kern w:val="11"/>
                <w:sz w:val="28"/>
                <w:szCs w:val="21"/>
                <w:highlight w:val="none"/>
              </w:rPr>
            </w:pPr>
            <w:r>
              <w:rPr>
                <w:rFonts w:hint="eastAsia" w:ascii="宋体" w:hAnsi="宋体" w:cs="宋体"/>
                <w:b/>
                <w:color w:val="auto"/>
                <w:kern w:val="11"/>
                <w:sz w:val="28"/>
                <w:szCs w:val="21"/>
                <w:highlight w:val="none"/>
              </w:rPr>
              <w:t>（1）纸质版响应文件：正本一份、副本</w:t>
            </w:r>
            <w:r>
              <w:rPr>
                <w:rFonts w:hint="eastAsia" w:ascii="宋体" w:hAnsi="宋体" w:cs="宋体"/>
                <w:b/>
                <w:color w:val="auto"/>
                <w:kern w:val="11"/>
                <w:sz w:val="28"/>
                <w:szCs w:val="21"/>
                <w:highlight w:val="none"/>
                <w:lang w:val="en-US" w:eastAsia="zh-CN"/>
              </w:rPr>
              <w:t>二</w:t>
            </w:r>
            <w:r>
              <w:rPr>
                <w:rFonts w:hint="eastAsia" w:ascii="宋体" w:hAnsi="宋体" w:cs="宋体"/>
                <w:b/>
                <w:color w:val="auto"/>
                <w:kern w:val="11"/>
                <w:sz w:val="28"/>
                <w:szCs w:val="21"/>
                <w:highlight w:val="none"/>
              </w:rPr>
              <w:t>份，正副本均装订成册并密封递交。</w:t>
            </w:r>
          </w:p>
          <w:p>
            <w:pPr>
              <w:tabs>
                <w:tab w:val="left" w:pos="3122"/>
              </w:tabs>
              <w:spacing w:line="400" w:lineRule="exact"/>
              <w:jc w:val="left"/>
              <w:rPr>
                <w:rFonts w:ascii="宋体" w:hAnsi="宋体" w:cs="宋体"/>
                <w:b/>
                <w:color w:val="auto"/>
                <w:kern w:val="11"/>
                <w:sz w:val="28"/>
                <w:szCs w:val="21"/>
                <w:highlight w:val="none"/>
              </w:rPr>
            </w:pPr>
            <w:r>
              <w:rPr>
                <w:rFonts w:hint="eastAsia" w:ascii="宋体" w:hAnsi="宋体" w:cs="宋体"/>
                <w:b/>
                <w:color w:val="auto"/>
                <w:kern w:val="11"/>
                <w:sz w:val="28"/>
                <w:szCs w:val="21"/>
                <w:highlight w:val="none"/>
              </w:rPr>
              <w:t>（</w:t>
            </w:r>
            <w:r>
              <w:rPr>
                <w:rFonts w:ascii="宋体" w:hAnsi="宋体" w:cs="宋体"/>
                <w:b/>
                <w:color w:val="auto"/>
                <w:kern w:val="11"/>
                <w:sz w:val="28"/>
                <w:szCs w:val="21"/>
                <w:highlight w:val="none"/>
              </w:rPr>
              <w:t>2</w:t>
            </w:r>
            <w:r>
              <w:rPr>
                <w:rFonts w:hint="eastAsia" w:ascii="宋体" w:hAnsi="宋体" w:cs="宋体"/>
                <w:b/>
                <w:color w:val="auto"/>
                <w:kern w:val="11"/>
                <w:sz w:val="28"/>
                <w:szCs w:val="21"/>
                <w:highlight w:val="none"/>
              </w:rPr>
              <w:t>）法人授权委托书原件和授权代表身份证原件（法定代表人参加投标的提供法定代表人身份证明书及身份证原件）。</w:t>
            </w:r>
          </w:p>
          <w:p>
            <w:pPr>
              <w:pStyle w:val="12"/>
              <w:ind w:firstLine="0"/>
              <w:rPr>
                <w:rFonts w:hint="eastAsia" w:eastAsia="宋体"/>
                <w:color w:val="auto"/>
                <w:highlight w:val="none"/>
                <w:lang w:val="en-US" w:eastAsia="zh-CN"/>
              </w:rPr>
            </w:pPr>
            <w:r>
              <w:rPr>
                <w:rFonts w:hint="eastAsia" w:ascii="宋体" w:hAnsi="宋体" w:cs="宋体"/>
                <w:color w:val="auto"/>
                <w:kern w:val="11"/>
                <w:sz w:val="28"/>
                <w:szCs w:val="21"/>
                <w:highlight w:val="none"/>
              </w:rPr>
              <w:t>（</w:t>
            </w:r>
            <w:r>
              <w:rPr>
                <w:rFonts w:hint="eastAsia" w:ascii="宋体" w:hAnsi="宋体" w:cs="宋体"/>
                <w:color w:val="auto"/>
                <w:kern w:val="11"/>
                <w:sz w:val="28"/>
                <w:szCs w:val="21"/>
                <w:highlight w:val="none"/>
                <w:lang w:val="en-US" w:eastAsia="zh-CN"/>
              </w:rPr>
              <w:t>3</w:t>
            </w:r>
            <w:r>
              <w:rPr>
                <w:rFonts w:hint="eastAsia" w:ascii="宋体" w:hAnsi="宋体" w:cs="宋体"/>
                <w:color w:val="auto"/>
                <w:kern w:val="11"/>
                <w:sz w:val="28"/>
                <w:szCs w:val="21"/>
                <w:highlight w:val="none"/>
              </w:rPr>
              <w:t>）开标一览表（一式三份），单独密封递交</w:t>
            </w:r>
            <w:r>
              <w:rPr>
                <w:rFonts w:hint="eastAsia" w:ascii="宋体" w:hAnsi="宋体" w:cs="宋体"/>
                <w:color w:val="auto"/>
                <w:kern w:val="11"/>
                <w:sz w:val="28"/>
                <w:szCs w:val="21"/>
                <w:highlight w:val="none"/>
                <w:lang w:eastAsia="zh-CN"/>
              </w:rPr>
              <w:t>。</w:t>
            </w:r>
          </w:p>
          <w:p>
            <w:pPr>
              <w:tabs>
                <w:tab w:val="left" w:pos="3122"/>
              </w:tabs>
              <w:spacing w:line="400" w:lineRule="exact"/>
              <w:jc w:val="left"/>
              <w:rPr>
                <w:rFonts w:hint="eastAsia" w:eastAsia="宋体" w:asciiTheme="minorEastAsia" w:hAnsiTheme="minorEastAsia" w:cstheme="minorEastAsia"/>
                <w:color w:val="auto"/>
                <w:sz w:val="28"/>
                <w:szCs w:val="28"/>
                <w:highlight w:val="none"/>
                <w:lang w:eastAsia="zh-CN"/>
              </w:rPr>
            </w:pPr>
            <w:r>
              <w:rPr>
                <w:rFonts w:hint="eastAsia" w:ascii="宋体" w:hAnsi="宋体" w:cs="宋体"/>
                <w:b/>
                <w:color w:val="auto"/>
                <w:kern w:val="11"/>
                <w:sz w:val="28"/>
                <w:szCs w:val="21"/>
                <w:highlight w:val="none"/>
              </w:rPr>
              <w:t>（</w:t>
            </w:r>
            <w:r>
              <w:rPr>
                <w:rFonts w:hint="eastAsia" w:ascii="宋体" w:hAnsi="宋体" w:cs="宋体"/>
                <w:b/>
                <w:color w:val="auto"/>
                <w:kern w:val="11"/>
                <w:sz w:val="28"/>
                <w:szCs w:val="21"/>
                <w:highlight w:val="none"/>
                <w:lang w:val="en-US" w:eastAsia="zh-CN"/>
              </w:rPr>
              <w:t>4</w:t>
            </w:r>
            <w:r>
              <w:rPr>
                <w:rFonts w:hint="eastAsia" w:ascii="宋体" w:hAnsi="宋体" w:cs="宋体"/>
                <w:b/>
                <w:color w:val="auto"/>
                <w:kern w:val="11"/>
                <w:sz w:val="28"/>
                <w:szCs w:val="21"/>
                <w:highlight w:val="none"/>
              </w:rPr>
              <w:t>）资格证明材料（原件）</w:t>
            </w:r>
            <w:r>
              <w:rPr>
                <w:rFonts w:hint="eastAsia" w:ascii="宋体" w:hAnsi="宋体" w:cs="宋体"/>
                <w:b/>
                <w:color w:val="auto"/>
                <w:kern w:val="11"/>
                <w:sz w:val="28"/>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评标方法</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pStyle w:val="30"/>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成交服务费</w:t>
            </w:r>
          </w:p>
        </w:tc>
        <w:tc>
          <w:tcPr>
            <w:tcW w:w="6828" w:type="dxa"/>
            <w:tcBorders>
              <w:top w:val="single" w:color="auto" w:sz="4" w:space="0"/>
              <w:left w:val="single" w:color="auto" w:sz="4" w:space="0"/>
              <w:bottom w:val="single" w:color="auto" w:sz="4" w:space="0"/>
              <w:right w:val="single" w:color="auto" w:sz="4" w:space="0"/>
            </w:tcBorders>
            <w:noWrap/>
            <w:vAlign w:val="center"/>
          </w:tcPr>
          <w:p>
            <w:pPr>
              <w:pStyle w:val="30"/>
              <w:rPr>
                <w:rFonts w:asciiTheme="minorEastAsia" w:hAnsiTheme="minorEastAsia" w:cstheme="minorEastAsia"/>
                <w:b/>
                <w:bCs/>
                <w:color w:val="auto"/>
                <w:kern w:val="11"/>
                <w:sz w:val="28"/>
                <w:szCs w:val="28"/>
                <w:highlight w:val="none"/>
              </w:rPr>
            </w:pPr>
            <w:r>
              <w:rPr>
                <w:rFonts w:hint="eastAsia" w:asciiTheme="minorEastAsia" w:hAnsiTheme="minorEastAsia" w:eastAsiaTheme="minorEastAsia" w:cstheme="minorEastAsia"/>
                <w:color w:val="auto"/>
                <w:sz w:val="28"/>
                <w:szCs w:val="28"/>
                <w:highlight w:val="none"/>
              </w:rPr>
              <w:t>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项目联系人</w:t>
            </w:r>
          </w:p>
        </w:tc>
        <w:tc>
          <w:tcPr>
            <w:tcW w:w="68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联系人：</w:t>
            </w:r>
            <w:r>
              <w:rPr>
                <w:rFonts w:hint="eastAsia" w:asciiTheme="minorEastAsia" w:hAnsiTheme="minorEastAsia" w:eastAsiaTheme="minorEastAsia" w:cstheme="minorEastAsia"/>
                <w:bCs/>
                <w:color w:val="auto"/>
                <w:sz w:val="28"/>
                <w:szCs w:val="28"/>
                <w:highlight w:val="none"/>
              </w:rPr>
              <w:t>武工</w:t>
            </w:r>
          </w:p>
          <w:p>
            <w:pPr>
              <w:topLinePunct/>
              <w:spacing w:line="44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联系方式：</w:t>
            </w:r>
            <w:r>
              <w:rPr>
                <w:rFonts w:hint="eastAsia" w:asciiTheme="minorEastAsia" w:hAnsiTheme="minorEastAsia" w:eastAsiaTheme="minorEastAsia" w:cstheme="minorEastAsia"/>
                <w:bCs/>
                <w:color w:val="auto"/>
                <w:sz w:val="28"/>
                <w:szCs w:val="28"/>
                <w:highlight w:val="none"/>
              </w:rPr>
              <w:t>13969913303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auto"/>
                <w:sz w:val="28"/>
                <w:szCs w:val="28"/>
                <w:highlight w:val="none"/>
              </w:rPr>
            </w:pPr>
          </w:p>
        </w:tc>
        <w:tc>
          <w:tcPr>
            <w:tcW w:w="8978"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不管投标结果如何，供应商自行承担所有与参加投标有关的费用，供应商一旦参加本项目投标，即被认为接受了本磋商文件的所有条件和规定。</w:t>
            </w:r>
          </w:p>
        </w:tc>
      </w:tr>
    </w:tbl>
    <w:p>
      <w:pPr>
        <w:rPr>
          <w:rFonts w:ascii="宋体" w:hAnsi="宋体"/>
          <w:color w:val="auto"/>
          <w:sz w:val="24"/>
          <w:szCs w:val="52"/>
          <w:highlight w:val="none"/>
        </w:rPr>
      </w:pPr>
    </w:p>
    <w:p>
      <w:pPr>
        <w:spacing w:line="440" w:lineRule="exact"/>
        <w:jc w:val="center"/>
        <w:rPr>
          <w:b/>
          <w:bCs/>
          <w:color w:val="auto"/>
          <w:sz w:val="32"/>
          <w:szCs w:val="40"/>
          <w:highlight w:val="none"/>
        </w:rPr>
      </w:pPr>
      <w:r>
        <w:rPr>
          <w:rFonts w:hint="eastAsia"/>
          <w:b/>
          <w:bCs/>
          <w:color w:val="auto"/>
          <w:sz w:val="32"/>
          <w:szCs w:val="40"/>
          <w:highlight w:val="none"/>
        </w:rPr>
        <w:t>一、总 则</w:t>
      </w:r>
    </w:p>
    <w:p>
      <w:pPr>
        <w:spacing w:line="440" w:lineRule="exact"/>
        <w:ind w:firstLine="551" w:firstLineChars="196"/>
        <w:rPr>
          <w:rFonts w:ascii="宋体" w:hAnsi="宋体"/>
          <w:b/>
          <w:color w:val="auto"/>
          <w:sz w:val="28"/>
          <w:szCs w:val="21"/>
          <w:highlight w:val="none"/>
        </w:rPr>
      </w:pPr>
      <w:r>
        <w:rPr>
          <w:rFonts w:hint="eastAsia" w:ascii="宋体" w:hAnsi="宋体"/>
          <w:b/>
          <w:color w:val="auto"/>
          <w:sz w:val="28"/>
          <w:szCs w:val="21"/>
          <w:highlight w:val="none"/>
        </w:rPr>
        <w:t>1.适用范围</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1.1本磋商文件仅适用于磋商文件第一章《竞争性磋商公告》中所叙述的项目。</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2.1采购人系指</w:t>
      </w:r>
      <w:r>
        <w:rPr>
          <w:rFonts w:hint="eastAsia" w:ascii="宋体" w:hAnsi="宋体"/>
          <w:color w:val="auto"/>
          <w:sz w:val="28"/>
          <w:szCs w:val="21"/>
          <w:highlight w:val="none"/>
          <w:lang w:eastAsia="zh-CN"/>
        </w:rPr>
        <w:t>天元建设集团有限公司</w:t>
      </w:r>
      <w:r>
        <w:rPr>
          <w:rFonts w:hint="eastAsia" w:ascii="宋体" w:hAnsi="宋体"/>
          <w:color w:val="auto"/>
          <w:sz w:val="28"/>
          <w:szCs w:val="21"/>
          <w:highlight w:val="none"/>
        </w:rPr>
        <w:t>。</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2.2采购代理机构系指</w:t>
      </w:r>
      <w:r>
        <w:rPr>
          <w:rFonts w:hint="eastAsia" w:asciiTheme="minorEastAsia" w:hAnsiTheme="minorEastAsia" w:eastAsiaTheme="minorEastAsia" w:cstheme="minorEastAsia"/>
          <w:color w:val="auto"/>
          <w:sz w:val="28"/>
          <w:szCs w:val="28"/>
          <w:highlight w:val="none"/>
        </w:rPr>
        <w:t>山东华方项目管理有限公司</w:t>
      </w:r>
      <w:r>
        <w:rPr>
          <w:rFonts w:hint="eastAsia" w:ascii="宋体" w:hAnsi="宋体"/>
          <w:color w:val="auto"/>
          <w:sz w:val="28"/>
          <w:szCs w:val="21"/>
          <w:highlight w:val="none"/>
        </w:rPr>
        <w:t>。</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2.3供应商系指</w:t>
      </w:r>
      <w:r>
        <w:rPr>
          <w:rFonts w:hint="eastAsia" w:ascii="宋体" w:hAnsi="宋体" w:cs="宋体"/>
          <w:color w:val="auto"/>
          <w:kern w:val="0"/>
          <w:sz w:val="28"/>
          <w:szCs w:val="21"/>
          <w:highlight w:val="none"/>
        </w:rPr>
        <w:t>响应采购、参加报价竞争的的法人单位或其它组织</w:t>
      </w:r>
      <w:r>
        <w:rPr>
          <w:rFonts w:hint="eastAsia" w:ascii="宋体" w:hAnsi="宋体" w:cs="宋体"/>
          <w:color w:val="auto"/>
          <w:sz w:val="28"/>
          <w:szCs w:val="21"/>
          <w:highlight w:val="none"/>
        </w:rPr>
        <w:t>。</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2.4评审小组系指由采购代理机构依法</w:t>
      </w:r>
      <w:r>
        <w:rPr>
          <w:rFonts w:hint="eastAsia" w:ascii="宋体" w:hAnsi="宋体" w:cs="宋体"/>
          <w:color w:val="auto"/>
          <w:sz w:val="28"/>
          <w:szCs w:val="21"/>
          <w:highlight w:val="none"/>
        </w:rPr>
        <w:t>负责组织</w:t>
      </w:r>
      <w:r>
        <w:rPr>
          <w:rFonts w:hint="eastAsia" w:ascii="宋体" w:hAnsi="宋体"/>
          <w:color w:val="auto"/>
          <w:sz w:val="28"/>
          <w:szCs w:val="21"/>
          <w:highlight w:val="none"/>
        </w:rPr>
        <w:t>，由采购人和有关专家组成以确定成交供应商的临时组织。</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2.5“成交供应商”系指响应文件满足磋商文件全部实质性要求且按照评审因素的量化指标评审得分最高的供应商。</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2.6磋商文件中的“甲方”系指本项目的采购人，“乙方”系指本项目的成交供应商。</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2.7上一年度是指从上一年1月1日至本项目竞争性磋商公告发布之日，上两年度是指从上两年1月1日至本项目竞争性磋商公告发布之日，以此类推。</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2.8书面形式包括书面文字、电传、传真、电报、政府采购信息发布网站公告（临沂市公共资源交易网：http://zfcg.linyi.gov.cn/）。</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2.9原件系指最初产生的区别于复制件、影印件、传真件、扫描件的原始文件或文件的原本或供应商所在地公证处出具的文件复制件公证书。</w:t>
      </w:r>
    </w:p>
    <w:p>
      <w:pPr>
        <w:spacing w:line="440" w:lineRule="exact"/>
        <w:ind w:firstLine="562" w:firstLineChars="200"/>
        <w:rPr>
          <w:rFonts w:ascii="宋体" w:hAnsi="宋体"/>
          <w:b/>
          <w:color w:val="auto"/>
          <w:sz w:val="28"/>
          <w:szCs w:val="21"/>
          <w:highlight w:val="none"/>
        </w:rPr>
      </w:pPr>
      <w:r>
        <w:rPr>
          <w:rFonts w:hint="eastAsia" w:ascii="宋体" w:hAnsi="宋体"/>
          <w:b/>
          <w:color w:val="auto"/>
          <w:sz w:val="28"/>
          <w:szCs w:val="21"/>
          <w:highlight w:val="none"/>
        </w:rPr>
        <w:t>3.使用文字种类、计量单位、时间单位及货币种类</w:t>
      </w:r>
    </w:p>
    <w:p>
      <w:pPr>
        <w:pStyle w:val="28"/>
        <w:widowControl w:val="0"/>
        <w:spacing w:beforeAutospacing="0" w:afterAutospacing="0" w:line="440" w:lineRule="exact"/>
        <w:ind w:firstLine="560" w:firstLineChars="200"/>
        <w:jc w:val="both"/>
        <w:rPr>
          <w:color w:val="auto"/>
          <w:sz w:val="28"/>
          <w:szCs w:val="21"/>
          <w:highlight w:val="none"/>
        </w:rPr>
      </w:pPr>
      <w:r>
        <w:rPr>
          <w:rFonts w:hint="eastAsia"/>
          <w:color w:val="auto"/>
          <w:sz w:val="28"/>
          <w:szCs w:val="21"/>
          <w:highlight w:val="none"/>
        </w:rPr>
        <w:t>3.1磋商文件、响应文件、采购代理机构与供应商之间有关采购活动所有书面形式的来往函件、记录等均应使用简体中文。</w:t>
      </w:r>
    </w:p>
    <w:p>
      <w:pPr>
        <w:pStyle w:val="28"/>
        <w:widowControl w:val="0"/>
        <w:spacing w:beforeAutospacing="0" w:afterAutospacing="0" w:line="440" w:lineRule="exact"/>
        <w:ind w:firstLine="560" w:firstLineChars="200"/>
        <w:jc w:val="both"/>
        <w:rPr>
          <w:color w:val="auto"/>
          <w:sz w:val="28"/>
          <w:szCs w:val="21"/>
          <w:highlight w:val="none"/>
        </w:rPr>
      </w:pPr>
      <w:r>
        <w:rPr>
          <w:rFonts w:hint="eastAsia"/>
          <w:color w:val="auto"/>
          <w:sz w:val="28"/>
          <w:szCs w:val="21"/>
          <w:highlight w:val="none"/>
        </w:rPr>
        <w:t>3.2</w:t>
      </w:r>
      <w:r>
        <w:rPr>
          <w:rFonts w:hint="eastAsia" w:cs="Arial"/>
          <w:color w:val="auto"/>
          <w:sz w:val="28"/>
          <w:szCs w:val="21"/>
          <w:highlight w:val="none"/>
        </w:rPr>
        <w:t>供应商可以在响应文件中提交用其他语言打印的数据或资料，但是必须提供由专业翻译机构出具的简体中文译文，并以简体中文译文为准，否则视同供应商未提供该数据或资料。</w:t>
      </w:r>
    </w:p>
    <w:p>
      <w:pPr>
        <w:pStyle w:val="28"/>
        <w:widowControl w:val="0"/>
        <w:spacing w:beforeAutospacing="0" w:afterAutospacing="0" w:line="440" w:lineRule="exact"/>
        <w:ind w:firstLine="560" w:firstLineChars="200"/>
        <w:jc w:val="both"/>
        <w:rPr>
          <w:color w:val="auto"/>
          <w:sz w:val="28"/>
          <w:szCs w:val="21"/>
          <w:highlight w:val="none"/>
        </w:rPr>
      </w:pPr>
      <w:r>
        <w:rPr>
          <w:rFonts w:hint="eastAsia"/>
          <w:color w:val="auto"/>
          <w:sz w:val="28"/>
          <w:szCs w:val="21"/>
          <w:highlight w:val="none"/>
        </w:rPr>
        <w:t>3.3除磋商文件中另有规定外，响应文件所使用的计量单位，均须采用中华人民共和国法定计量单位。</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3.4除磋商文件中另有规定外，响应文件所使用的时间单位“天”、“日”均指日历天。</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3.5磋商文件及响应文件中有关货币的数额表示全部以人民币计算。</w:t>
      </w:r>
    </w:p>
    <w:p>
      <w:pPr>
        <w:spacing w:line="440" w:lineRule="exact"/>
        <w:ind w:firstLine="562" w:firstLineChars="200"/>
        <w:rPr>
          <w:rFonts w:ascii="宋体" w:hAnsi="宋体"/>
          <w:b/>
          <w:color w:val="auto"/>
          <w:sz w:val="28"/>
          <w:szCs w:val="21"/>
          <w:highlight w:val="none"/>
        </w:rPr>
      </w:pPr>
      <w:r>
        <w:rPr>
          <w:rFonts w:hint="eastAsia" w:ascii="宋体" w:hAnsi="宋体"/>
          <w:b/>
          <w:color w:val="auto"/>
          <w:sz w:val="28"/>
          <w:szCs w:val="21"/>
          <w:highlight w:val="none"/>
        </w:rPr>
        <w:t>4.报价费用</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4.1供应商应自行承担所有与参加报价有关的费用。不论报价的结果如何，采购人、采购代理机构在任何情况下均无义务和责任承担这些费用。</w:t>
      </w:r>
    </w:p>
    <w:p>
      <w:pPr>
        <w:spacing w:line="440" w:lineRule="exact"/>
        <w:ind w:firstLine="562" w:firstLineChars="200"/>
        <w:rPr>
          <w:rFonts w:ascii="宋体" w:hAnsi="宋体"/>
          <w:b/>
          <w:color w:val="auto"/>
          <w:sz w:val="28"/>
          <w:szCs w:val="21"/>
          <w:highlight w:val="none"/>
        </w:rPr>
      </w:pPr>
      <w:r>
        <w:rPr>
          <w:rFonts w:hint="eastAsia" w:ascii="宋体" w:hAnsi="宋体"/>
          <w:b/>
          <w:color w:val="auto"/>
          <w:sz w:val="28"/>
          <w:szCs w:val="21"/>
          <w:highlight w:val="none"/>
        </w:rPr>
        <w:t>5.合格的供应商</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5.1供应商必须满足本磋商文件第一章《竞争性磋商公告》中的相关要求。</w:t>
      </w:r>
    </w:p>
    <w:p>
      <w:pPr>
        <w:topLinePunct/>
        <w:spacing w:line="440" w:lineRule="exact"/>
        <w:ind w:firstLine="560" w:firstLineChars="200"/>
        <w:jc w:val="left"/>
        <w:outlineLvl w:val="0"/>
        <w:rPr>
          <w:rFonts w:ascii="宋体"/>
          <w:color w:val="auto"/>
          <w:sz w:val="28"/>
          <w:szCs w:val="21"/>
          <w:highlight w:val="none"/>
        </w:rPr>
      </w:pPr>
      <w:r>
        <w:rPr>
          <w:rFonts w:hint="eastAsia" w:ascii="宋体" w:hAnsi="宋体"/>
          <w:color w:val="auto"/>
          <w:sz w:val="28"/>
          <w:szCs w:val="21"/>
          <w:highlight w:val="none"/>
        </w:rPr>
        <w:t>5.2单位负责人为同一人或者存在直接控股、管理关系的不同供应商，不得参加同一合同项下的政府采购活动。</w:t>
      </w:r>
    </w:p>
    <w:p>
      <w:pPr>
        <w:topLinePunct/>
        <w:spacing w:line="440" w:lineRule="exact"/>
        <w:ind w:firstLine="560" w:firstLineChars="200"/>
        <w:jc w:val="left"/>
        <w:outlineLvl w:val="0"/>
        <w:rPr>
          <w:rFonts w:ascii="宋体"/>
          <w:color w:val="auto"/>
          <w:sz w:val="28"/>
          <w:szCs w:val="21"/>
          <w:highlight w:val="none"/>
        </w:rPr>
      </w:pPr>
      <w:r>
        <w:rPr>
          <w:rFonts w:hint="eastAsia" w:ascii="宋体" w:hAnsi="宋体"/>
          <w:color w:val="auto"/>
          <w:sz w:val="28"/>
          <w:szCs w:val="21"/>
          <w:highlight w:val="none"/>
        </w:rPr>
        <w:t>5.3除单一来源采购项目外，为采购项目提供整体设计、规范编制或者项目管理、监理、检测等服务的供应商，不得再参加该采购项目的其他采购活动。</w:t>
      </w:r>
    </w:p>
    <w:p>
      <w:pPr>
        <w:topLinePunct/>
        <w:spacing w:line="440" w:lineRule="exact"/>
        <w:ind w:left="480"/>
        <w:jc w:val="left"/>
        <w:outlineLvl w:val="0"/>
        <w:rPr>
          <w:rFonts w:ascii="宋体"/>
          <w:color w:val="auto"/>
          <w:sz w:val="28"/>
          <w:szCs w:val="21"/>
          <w:highlight w:val="none"/>
        </w:rPr>
      </w:pPr>
      <w:r>
        <w:rPr>
          <w:rFonts w:hint="eastAsia" w:ascii="宋体" w:hAnsi="宋体"/>
          <w:color w:val="auto"/>
          <w:sz w:val="28"/>
          <w:szCs w:val="21"/>
          <w:highlight w:val="none"/>
        </w:rPr>
        <w:t>5.4供应商参加政府采购活动前三年内，在经营活动中没有重大违法记录。</w:t>
      </w:r>
    </w:p>
    <w:p>
      <w:pPr>
        <w:topLinePunct/>
        <w:spacing w:line="440" w:lineRule="exact"/>
        <w:ind w:left="480"/>
        <w:jc w:val="left"/>
        <w:outlineLvl w:val="0"/>
        <w:rPr>
          <w:rFonts w:ascii="宋体"/>
          <w:color w:val="auto"/>
          <w:sz w:val="28"/>
          <w:szCs w:val="21"/>
          <w:highlight w:val="none"/>
        </w:rPr>
      </w:pPr>
      <w:r>
        <w:rPr>
          <w:rFonts w:hint="eastAsia" w:ascii="宋体" w:hAnsi="宋体"/>
          <w:color w:val="auto"/>
          <w:sz w:val="28"/>
          <w:szCs w:val="21"/>
          <w:highlight w:val="none"/>
        </w:rPr>
        <w:t>5.5供应商应当遵守国家、山东省、临沂市有关的法律、法规和政策。</w:t>
      </w:r>
    </w:p>
    <w:p>
      <w:pPr>
        <w:topLinePunct/>
        <w:spacing w:line="440" w:lineRule="exact"/>
        <w:ind w:firstLine="560" w:firstLineChars="200"/>
        <w:jc w:val="left"/>
        <w:outlineLvl w:val="0"/>
        <w:rPr>
          <w:rFonts w:ascii="宋体"/>
          <w:color w:val="auto"/>
          <w:sz w:val="28"/>
          <w:szCs w:val="21"/>
          <w:highlight w:val="none"/>
        </w:rPr>
      </w:pPr>
      <w:r>
        <w:rPr>
          <w:rFonts w:hint="eastAsia" w:ascii="宋体" w:hAnsi="宋体"/>
          <w:color w:val="auto"/>
          <w:sz w:val="28"/>
          <w:szCs w:val="21"/>
          <w:highlight w:val="none"/>
        </w:rPr>
        <w:t>5.6查询及使用信用记录：根据《财政部关于在政府采购活动中查询及使用信用记录有关问题的通知》（财库</w:t>
      </w:r>
      <w:r>
        <w:rPr>
          <w:rFonts w:ascii="宋体" w:hAnsi="宋体"/>
          <w:color w:val="auto"/>
          <w:sz w:val="28"/>
          <w:szCs w:val="21"/>
          <w:highlight w:val="none"/>
        </w:rPr>
        <w:t>[2016]125</w:t>
      </w:r>
      <w:r>
        <w:rPr>
          <w:rFonts w:hint="eastAsia" w:ascii="宋体" w:hAnsi="宋体"/>
          <w:color w:val="auto"/>
          <w:sz w:val="28"/>
          <w:szCs w:val="21"/>
          <w:highlight w:val="none"/>
        </w:rPr>
        <w:t>号）和《关于做好政府采购信用信息查询使用及登记工作的通知》（鲁财采</w:t>
      </w:r>
      <w:r>
        <w:rPr>
          <w:rFonts w:ascii="宋体" w:hAnsi="宋体"/>
          <w:color w:val="auto"/>
          <w:sz w:val="28"/>
          <w:szCs w:val="21"/>
          <w:highlight w:val="none"/>
        </w:rPr>
        <w:t>[2016]34</w:t>
      </w:r>
      <w:r>
        <w:rPr>
          <w:rFonts w:hint="eastAsia" w:ascii="宋体" w:hAnsi="宋体"/>
          <w:color w:val="auto"/>
          <w:sz w:val="28"/>
          <w:szCs w:val="21"/>
          <w:highlight w:val="none"/>
        </w:rPr>
        <w:t>号）文件规定，采购人及采购代理机构将对供应商在递交响应文件截止时间之前的信用记录进行查询，查询网址为信用中国（</w:t>
      </w:r>
      <w:r>
        <w:rPr>
          <w:rFonts w:ascii="宋体" w:hAnsi="宋体"/>
          <w:color w:val="auto"/>
          <w:sz w:val="28"/>
          <w:szCs w:val="21"/>
          <w:highlight w:val="none"/>
        </w:rPr>
        <w:t>www.creditchina.gov.cn</w:t>
      </w:r>
      <w:r>
        <w:rPr>
          <w:rFonts w:hint="eastAsia" w:ascii="宋体" w:hAnsi="宋体"/>
          <w:color w:val="auto"/>
          <w:sz w:val="28"/>
          <w:szCs w:val="21"/>
          <w:highlight w:val="none"/>
        </w:rPr>
        <w:t>）、中国政府采购网（</w:t>
      </w:r>
      <w:r>
        <w:rPr>
          <w:rFonts w:ascii="宋体" w:hAnsi="宋体"/>
          <w:color w:val="auto"/>
          <w:sz w:val="28"/>
          <w:szCs w:val="21"/>
          <w:highlight w:val="none"/>
        </w:rPr>
        <w:t>www.ccgp.gov.cn</w:t>
      </w:r>
      <w:r>
        <w:rPr>
          <w:rFonts w:hint="eastAsia" w:ascii="宋体" w:hAnsi="宋体"/>
          <w:color w:val="auto"/>
          <w:sz w:val="28"/>
          <w:szCs w:val="21"/>
          <w:highlight w:val="none"/>
        </w:rPr>
        <w:t>）、信用山东（</w:t>
      </w:r>
      <w:r>
        <w:rPr>
          <w:color w:val="auto"/>
          <w:highlight w:val="none"/>
        </w:rPr>
        <w:fldChar w:fldCharType="begin"/>
      </w:r>
      <w:r>
        <w:rPr>
          <w:color w:val="auto"/>
          <w:highlight w:val="none"/>
        </w:rPr>
        <w:instrText xml:space="preserve"> HYPERLINK "http://www.creditsd.gov.cn" </w:instrText>
      </w:r>
      <w:r>
        <w:rPr>
          <w:color w:val="auto"/>
          <w:highlight w:val="none"/>
        </w:rPr>
        <w:fldChar w:fldCharType="separate"/>
      </w:r>
      <w:r>
        <w:rPr>
          <w:rFonts w:ascii="宋体" w:hAnsi="宋体"/>
          <w:color w:val="auto"/>
          <w:sz w:val="28"/>
          <w:szCs w:val="21"/>
          <w:highlight w:val="none"/>
        </w:rPr>
        <w:t>www.creditsd.gov.cn</w:t>
      </w:r>
      <w:r>
        <w:rPr>
          <w:rFonts w:ascii="宋体" w:hAnsi="宋体"/>
          <w:color w:val="auto"/>
          <w:sz w:val="28"/>
          <w:szCs w:val="21"/>
          <w:highlight w:val="none"/>
        </w:rPr>
        <w:fldChar w:fldCharType="end"/>
      </w:r>
      <w:r>
        <w:rPr>
          <w:rFonts w:hint="eastAsia" w:ascii="宋体" w:hAnsi="宋体"/>
          <w:color w:val="auto"/>
          <w:sz w:val="28"/>
          <w:szCs w:val="21"/>
          <w:highlight w:val="none"/>
        </w:rPr>
        <w:t>）</w:t>
      </w:r>
      <w:r>
        <w:rPr>
          <w:rFonts w:ascii="宋体" w:hAnsi="宋体"/>
          <w:color w:val="auto"/>
          <w:sz w:val="28"/>
          <w:szCs w:val="21"/>
          <w:highlight w:val="none"/>
        </w:rPr>
        <w:t xml:space="preserve">, </w:t>
      </w:r>
      <w:r>
        <w:rPr>
          <w:rFonts w:hint="eastAsia" w:ascii="宋体" w:hAnsi="宋体"/>
          <w:color w:val="auto"/>
          <w:sz w:val="28"/>
          <w:szCs w:val="21"/>
          <w:highlight w:val="none"/>
        </w:rPr>
        <w:t>并对信用信息查询记录和证据进行网页页面留存。</w:t>
      </w:r>
    </w:p>
    <w:p>
      <w:pPr>
        <w:topLinePunct/>
        <w:spacing w:line="440" w:lineRule="exact"/>
        <w:ind w:firstLine="560" w:firstLineChars="200"/>
        <w:jc w:val="left"/>
        <w:outlineLvl w:val="0"/>
        <w:rPr>
          <w:rFonts w:ascii="宋体"/>
          <w:color w:val="auto"/>
          <w:sz w:val="28"/>
          <w:szCs w:val="21"/>
          <w:highlight w:val="none"/>
        </w:rPr>
      </w:pPr>
      <w:r>
        <w:rPr>
          <w:rFonts w:hint="eastAsia" w:ascii="宋体" w:hAnsi="宋体"/>
          <w:color w:val="auto"/>
          <w:sz w:val="28"/>
          <w:szCs w:val="21"/>
          <w:highlight w:val="none"/>
        </w:rPr>
        <w:t>对列入失信被执行人、重大税收违法案件当事人名单、政府采购严重违法失信行为记录名单及其他不符合《中华人民共和国政府采购法》第二十二条规定条件的供应商，应当拒绝其参与政府采购活动。</w:t>
      </w:r>
    </w:p>
    <w:p>
      <w:pPr>
        <w:topLinePunct/>
        <w:spacing w:line="440" w:lineRule="exact"/>
        <w:ind w:firstLine="560" w:firstLineChars="200"/>
        <w:jc w:val="left"/>
        <w:outlineLvl w:val="0"/>
        <w:rPr>
          <w:rFonts w:ascii="宋体"/>
          <w:color w:val="auto"/>
          <w:sz w:val="28"/>
          <w:szCs w:val="21"/>
          <w:highlight w:val="none"/>
        </w:rPr>
      </w:pPr>
      <w:r>
        <w:rPr>
          <w:rFonts w:hint="eastAsia" w:ascii="宋体" w:hAnsi="宋体"/>
          <w:color w:val="auto"/>
          <w:sz w:val="28"/>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topLinePunct/>
        <w:spacing w:line="440" w:lineRule="exact"/>
        <w:ind w:firstLine="560" w:firstLineChars="200"/>
        <w:jc w:val="left"/>
        <w:outlineLvl w:val="0"/>
        <w:rPr>
          <w:rFonts w:ascii="宋体"/>
          <w:color w:val="auto"/>
          <w:sz w:val="28"/>
          <w:szCs w:val="21"/>
          <w:highlight w:val="none"/>
        </w:rPr>
      </w:pPr>
      <w:r>
        <w:rPr>
          <w:rFonts w:hint="eastAsia" w:ascii="宋体" w:hAnsi="宋体"/>
          <w:color w:val="auto"/>
          <w:sz w:val="28"/>
          <w:szCs w:val="21"/>
          <w:highlight w:val="none"/>
        </w:rPr>
        <w:t>重大违法记录是指供应商因违法经营受到刑事处罚或者责令停产停业、吊销许可证或者执照、较大数额罚款等行政处罚。</w:t>
      </w:r>
    </w:p>
    <w:p>
      <w:pPr>
        <w:topLinePunct/>
        <w:spacing w:line="440" w:lineRule="exact"/>
        <w:ind w:firstLine="560" w:firstLineChars="200"/>
        <w:jc w:val="left"/>
        <w:outlineLvl w:val="0"/>
        <w:rPr>
          <w:rFonts w:ascii="宋体" w:hAnsi="宋体"/>
          <w:color w:val="auto"/>
          <w:sz w:val="28"/>
          <w:szCs w:val="21"/>
          <w:highlight w:val="none"/>
        </w:rPr>
      </w:pPr>
      <w:r>
        <w:rPr>
          <w:rFonts w:hint="eastAsia" w:ascii="宋体" w:hAnsi="宋体"/>
          <w:color w:val="auto"/>
          <w:sz w:val="28"/>
          <w:szCs w:val="21"/>
          <w:highlight w:val="none"/>
        </w:rPr>
        <w:t>供应商在参加政府采购活动前</w:t>
      </w:r>
      <w:r>
        <w:rPr>
          <w:rFonts w:ascii="宋体" w:hAnsi="宋体"/>
          <w:color w:val="auto"/>
          <w:sz w:val="28"/>
          <w:szCs w:val="21"/>
          <w:highlight w:val="none"/>
        </w:rPr>
        <w:t>3</w:t>
      </w:r>
      <w:r>
        <w:rPr>
          <w:rFonts w:hint="eastAsia" w:ascii="宋体" w:hAnsi="宋体"/>
          <w:color w:val="auto"/>
          <w:sz w:val="28"/>
          <w:szCs w:val="21"/>
          <w:highlight w:val="none"/>
        </w:rPr>
        <w:t>年内因违法经营被禁止在一定期限内参加政府采购活动，期限届满的，可以参加政府采购活动。</w:t>
      </w:r>
    </w:p>
    <w:p>
      <w:pPr>
        <w:pStyle w:val="23"/>
        <w:spacing w:line="440" w:lineRule="exact"/>
        <w:ind w:firstLine="560" w:firstLineChars="200"/>
        <w:rPr>
          <w:color w:val="auto"/>
          <w:sz w:val="28"/>
          <w:szCs w:val="28"/>
          <w:highlight w:val="none"/>
        </w:rPr>
      </w:pPr>
      <w:r>
        <w:rPr>
          <w:rFonts w:hint="eastAsia" w:hAnsi="宋体"/>
          <w:color w:val="auto"/>
          <w:sz w:val="28"/>
          <w:szCs w:val="28"/>
          <w:highlight w:val="none"/>
        </w:rPr>
        <w:t>5.7磋商文件规定的其他情形。</w:t>
      </w:r>
    </w:p>
    <w:p>
      <w:pPr>
        <w:spacing w:line="440" w:lineRule="exact"/>
        <w:ind w:firstLine="562" w:firstLineChars="200"/>
        <w:rPr>
          <w:rFonts w:ascii="宋体" w:hAnsi="宋体"/>
          <w:b/>
          <w:color w:val="auto"/>
          <w:sz w:val="28"/>
          <w:szCs w:val="21"/>
          <w:highlight w:val="none"/>
        </w:rPr>
      </w:pPr>
      <w:r>
        <w:rPr>
          <w:rFonts w:hint="eastAsia" w:ascii="宋体" w:hAnsi="宋体"/>
          <w:b/>
          <w:color w:val="auto"/>
          <w:sz w:val="28"/>
          <w:szCs w:val="21"/>
          <w:highlight w:val="none"/>
        </w:rPr>
        <w:t>6.投标有效期</w:t>
      </w:r>
    </w:p>
    <w:p>
      <w:pPr>
        <w:pStyle w:val="28"/>
        <w:widowControl w:val="0"/>
        <w:spacing w:beforeAutospacing="0" w:afterAutospacing="0" w:line="440" w:lineRule="exact"/>
        <w:ind w:firstLine="560" w:firstLineChars="200"/>
        <w:jc w:val="both"/>
        <w:rPr>
          <w:color w:val="auto"/>
          <w:sz w:val="28"/>
          <w:szCs w:val="21"/>
          <w:highlight w:val="none"/>
        </w:rPr>
      </w:pPr>
      <w:r>
        <w:rPr>
          <w:rFonts w:hint="eastAsia"/>
          <w:color w:val="auto"/>
          <w:sz w:val="28"/>
          <w:szCs w:val="21"/>
          <w:highlight w:val="none"/>
        </w:rPr>
        <w:t>6.1响应文件的有效期为自投标截止时间起90日。在此期间，凡符合磋商文件要求的响应文件均保持有效；供应商的响应文件将受磋商文件约束，如供应商被授予合同，供应商不得拒绝。</w:t>
      </w:r>
    </w:p>
    <w:p>
      <w:pPr>
        <w:pStyle w:val="28"/>
        <w:widowControl w:val="0"/>
        <w:spacing w:beforeAutospacing="0" w:afterAutospacing="0" w:line="440" w:lineRule="exact"/>
        <w:ind w:firstLine="560" w:firstLineChars="200"/>
        <w:jc w:val="both"/>
        <w:rPr>
          <w:color w:val="auto"/>
          <w:sz w:val="28"/>
          <w:szCs w:val="21"/>
          <w:highlight w:val="none"/>
        </w:rPr>
      </w:pPr>
      <w:r>
        <w:rPr>
          <w:rFonts w:hint="eastAsia"/>
          <w:color w:val="auto"/>
          <w:sz w:val="28"/>
          <w:szCs w:val="21"/>
          <w:highlight w:val="none"/>
        </w:rPr>
        <w:t>6.2原定报价有效期终止之前，若出现特殊情况，采购代理机构可以书面形式向供应商提出延长报价有效期的要求。</w:t>
      </w:r>
    </w:p>
    <w:p>
      <w:pPr>
        <w:pStyle w:val="28"/>
        <w:widowControl w:val="0"/>
        <w:spacing w:beforeAutospacing="0" w:afterAutospacing="0" w:line="440" w:lineRule="exact"/>
        <w:ind w:firstLine="560" w:firstLineChars="200"/>
        <w:jc w:val="both"/>
        <w:rPr>
          <w:color w:val="auto"/>
          <w:sz w:val="28"/>
          <w:szCs w:val="21"/>
          <w:highlight w:val="none"/>
        </w:rPr>
      </w:pPr>
      <w:r>
        <w:rPr>
          <w:rFonts w:hint="eastAsia"/>
          <w:color w:val="auto"/>
          <w:sz w:val="28"/>
          <w:szCs w:val="21"/>
          <w:highlight w:val="none"/>
        </w:rPr>
        <w:t>6.3供应商须以书面形式答复是否接受延长报价有效期的要求。</w:t>
      </w:r>
    </w:p>
    <w:p>
      <w:pPr>
        <w:pStyle w:val="28"/>
        <w:widowControl w:val="0"/>
        <w:spacing w:beforeAutospacing="0" w:afterAutospacing="0" w:line="440" w:lineRule="exact"/>
        <w:ind w:firstLine="560" w:firstLineChars="200"/>
        <w:jc w:val="both"/>
        <w:rPr>
          <w:color w:val="auto"/>
          <w:sz w:val="28"/>
          <w:szCs w:val="21"/>
          <w:highlight w:val="none"/>
        </w:rPr>
      </w:pPr>
      <w:r>
        <w:rPr>
          <w:rFonts w:hint="eastAsia"/>
          <w:color w:val="auto"/>
          <w:sz w:val="28"/>
          <w:szCs w:val="21"/>
          <w:highlight w:val="none"/>
        </w:rPr>
        <w:t>6.4因延长报价有效期造成供应商损失的，采购人、采购代理机构应当给予赔偿，但因不可抗力需要延长报价有效期的除外。</w:t>
      </w:r>
    </w:p>
    <w:p>
      <w:pPr>
        <w:pStyle w:val="28"/>
        <w:widowControl w:val="0"/>
        <w:spacing w:beforeAutospacing="0" w:afterAutospacing="0" w:line="440" w:lineRule="exact"/>
        <w:ind w:firstLine="562" w:firstLineChars="200"/>
        <w:jc w:val="both"/>
        <w:rPr>
          <w:b/>
          <w:color w:val="auto"/>
          <w:sz w:val="28"/>
          <w:szCs w:val="21"/>
          <w:highlight w:val="none"/>
        </w:rPr>
      </w:pPr>
      <w:r>
        <w:rPr>
          <w:rFonts w:hint="eastAsia"/>
          <w:b/>
          <w:color w:val="auto"/>
          <w:sz w:val="28"/>
          <w:szCs w:val="21"/>
          <w:highlight w:val="none"/>
        </w:rPr>
        <w:t>7.投标保证金</w:t>
      </w:r>
    </w:p>
    <w:p>
      <w:pPr>
        <w:ind w:firstLine="840" w:firstLineChars="300"/>
        <w:rPr>
          <w:rFonts w:ascii="宋体" w:hAnsi="宋体"/>
          <w:color w:val="auto"/>
          <w:kern w:val="0"/>
          <w:sz w:val="28"/>
          <w:szCs w:val="21"/>
          <w:highlight w:val="none"/>
        </w:rPr>
      </w:pPr>
      <w:r>
        <w:rPr>
          <w:rFonts w:hint="eastAsia" w:ascii="宋体" w:hAnsi="宋体"/>
          <w:color w:val="auto"/>
          <w:kern w:val="0"/>
          <w:sz w:val="28"/>
          <w:szCs w:val="21"/>
          <w:highlight w:val="none"/>
        </w:rPr>
        <w:t>参考供应商须知前附表。</w:t>
      </w:r>
    </w:p>
    <w:p>
      <w:pPr>
        <w:pStyle w:val="28"/>
        <w:widowControl w:val="0"/>
        <w:topLinePunct/>
        <w:spacing w:beforeAutospacing="0" w:afterAutospacing="0" w:line="460" w:lineRule="exact"/>
        <w:ind w:firstLine="562" w:firstLineChars="200"/>
        <w:rPr>
          <w:b/>
          <w:color w:val="auto"/>
          <w:kern w:val="2"/>
          <w:sz w:val="28"/>
          <w:szCs w:val="28"/>
          <w:highlight w:val="none"/>
        </w:rPr>
      </w:pPr>
      <w:r>
        <w:rPr>
          <w:rFonts w:hint="eastAsia"/>
          <w:b/>
          <w:color w:val="auto"/>
          <w:kern w:val="2"/>
          <w:sz w:val="28"/>
          <w:szCs w:val="28"/>
          <w:highlight w:val="none"/>
        </w:rPr>
        <w:t>8.基础资料提供</w:t>
      </w:r>
    </w:p>
    <w:p>
      <w:pPr>
        <w:pStyle w:val="28"/>
        <w:widowControl w:val="0"/>
        <w:spacing w:beforeAutospacing="0" w:afterAutospacing="0" w:line="440" w:lineRule="exact"/>
        <w:ind w:firstLine="560" w:firstLineChars="200"/>
        <w:jc w:val="both"/>
        <w:rPr>
          <w:color w:val="auto"/>
          <w:sz w:val="28"/>
          <w:szCs w:val="24"/>
          <w:highlight w:val="none"/>
        </w:rPr>
      </w:pPr>
      <w:r>
        <w:rPr>
          <w:rFonts w:hint="eastAsia"/>
          <w:color w:val="auto"/>
          <w:sz w:val="28"/>
          <w:szCs w:val="24"/>
          <w:highlight w:val="none"/>
        </w:rPr>
        <w:t>8.1供应商确认采购代理机构提供的基础资料存在的缺项漏项或计算误差，应于磋商文件要求提交响应文件截止时间5日前以书面形式（加盖供应商单位公章，否则不予答复）告知采购代理机构。供应商未在规定的时间内对采购代理机构提供的基础资料提出异议，视为供应商已认可采购代理机构提供的资料包含了本项目所需的基础资料全部内容。</w:t>
      </w:r>
    </w:p>
    <w:p>
      <w:pPr>
        <w:pStyle w:val="28"/>
        <w:widowControl w:val="0"/>
        <w:spacing w:beforeAutospacing="0" w:afterAutospacing="0" w:line="440" w:lineRule="exact"/>
        <w:ind w:firstLine="560" w:firstLineChars="200"/>
        <w:jc w:val="both"/>
        <w:rPr>
          <w:color w:val="auto"/>
          <w:sz w:val="28"/>
          <w:szCs w:val="24"/>
          <w:highlight w:val="none"/>
        </w:rPr>
      </w:pPr>
      <w:r>
        <w:rPr>
          <w:rFonts w:hint="eastAsia"/>
          <w:color w:val="auto"/>
          <w:sz w:val="28"/>
          <w:szCs w:val="24"/>
          <w:highlight w:val="none"/>
        </w:rPr>
        <w:t>8.2供应商认为磋商文件存在倾向性、排斥性或影响竞争的其他不当条款的，请在磋商文件要求提交响应文件截止时间5日前（或采购代理机构和所有获得磋商文件的供应商认可的时间），以有效书面形式（加盖供应商单位公章，否则不予答复）向采购代理机构提出，采购代理机构及时给予答复。磋商文件如有实质性变动的，采购单位可视具体情况延长投标截止时间和开标时间，并在规定的开标截止时间5日前，将变更时间书面通知所有磋商文件的收受人。未在要求的时限内提出，则视为磋商文件不存在影响竞争的不当条款。</w:t>
      </w:r>
    </w:p>
    <w:p>
      <w:pPr>
        <w:pStyle w:val="13"/>
        <w:spacing w:line="460" w:lineRule="exact"/>
        <w:rPr>
          <w:rFonts w:hint="eastAsia" w:ascii="宋体" w:hAnsi="宋体"/>
          <w:color w:val="auto"/>
          <w:highlight w:val="none"/>
        </w:rPr>
      </w:pPr>
      <w:bookmarkStart w:id="0" w:name="_Toc356464289"/>
      <w:bookmarkStart w:id="1" w:name="_Toc486672740"/>
      <w:bookmarkStart w:id="2" w:name="_Toc30835"/>
      <w:bookmarkStart w:id="3" w:name="_Toc30698"/>
      <w:bookmarkStart w:id="4" w:name="_Toc18007"/>
      <w:bookmarkStart w:id="5" w:name="_Toc486672592"/>
    </w:p>
    <w:p>
      <w:pPr>
        <w:pStyle w:val="13"/>
        <w:spacing w:line="460" w:lineRule="exact"/>
        <w:rPr>
          <w:rFonts w:hint="eastAsia" w:ascii="宋体" w:hAnsi="宋体"/>
          <w:color w:val="auto"/>
          <w:highlight w:val="none"/>
        </w:rPr>
      </w:pPr>
    </w:p>
    <w:p>
      <w:pPr>
        <w:pStyle w:val="13"/>
        <w:spacing w:line="460" w:lineRule="exact"/>
        <w:rPr>
          <w:rFonts w:ascii="宋体" w:hAnsi="宋体"/>
          <w:color w:val="auto"/>
          <w:highlight w:val="none"/>
        </w:rPr>
      </w:pPr>
      <w:r>
        <w:rPr>
          <w:rFonts w:hint="eastAsia" w:ascii="宋体" w:hAnsi="宋体"/>
          <w:color w:val="auto"/>
          <w:highlight w:val="none"/>
        </w:rPr>
        <w:t>二、磋商文件</w:t>
      </w:r>
      <w:bookmarkEnd w:id="0"/>
      <w:bookmarkEnd w:id="1"/>
      <w:bookmarkEnd w:id="2"/>
      <w:bookmarkEnd w:id="3"/>
      <w:bookmarkEnd w:id="4"/>
      <w:bookmarkEnd w:id="5"/>
    </w:p>
    <w:p>
      <w:pPr>
        <w:topLinePunct/>
        <w:spacing w:line="460" w:lineRule="exact"/>
        <w:ind w:firstLine="281" w:firstLineChars="100"/>
        <w:rPr>
          <w:rFonts w:ascii="宋体" w:hAnsi="宋体"/>
          <w:b/>
          <w:color w:val="auto"/>
          <w:sz w:val="28"/>
          <w:szCs w:val="28"/>
          <w:highlight w:val="none"/>
        </w:rPr>
      </w:pPr>
      <w:r>
        <w:rPr>
          <w:rFonts w:hint="eastAsia" w:ascii="宋体" w:hAnsi="宋体"/>
          <w:b/>
          <w:color w:val="auto"/>
          <w:sz w:val="28"/>
          <w:szCs w:val="28"/>
          <w:highlight w:val="none"/>
        </w:rPr>
        <w:t>9.磋商文件的组成</w:t>
      </w:r>
    </w:p>
    <w:p>
      <w:pPr>
        <w:topLinePunct/>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9.1供应商应仔细检查磋商文件是否齐全，如有缺漏，请立即与采购代理机构联系解决。磋商文件包括下列内容：</w:t>
      </w:r>
    </w:p>
    <w:p>
      <w:pPr>
        <w:numPr>
          <w:ilvl w:val="1"/>
          <w:numId w:val="6"/>
        </w:numPr>
        <w:tabs>
          <w:tab w:val="left" w:pos="540"/>
          <w:tab w:val="clear" w:pos="1860"/>
        </w:tabs>
        <w:topLinePunct/>
        <w:spacing w:line="460" w:lineRule="exact"/>
        <w:ind w:left="1620" w:hanging="1080"/>
        <w:rPr>
          <w:rFonts w:ascii="宋体" w:hAnsi="宋体"/>
          <w:color w:val="auto"/>
          <w:sz w:val="28"/>
          <w:szCs w:val="28"/>
          <w:highlight w:val="none"/>
        </w:rPr>
      </w:pPr>
      <w:r>
        <w:rPr>
          <w:rFonts w:hint="eastAsia" w:ascii="宋体" w:hAnsi="宋体"/>
          <w:color w:val="auto"/>
          <w:sz w:val="28"/>
          <w:szCs w:val="28"/>
          <w:highlight w:val="none"/>
        </w:rPr>
        <w:t>竞争性磋商公告</w:t>
      </w:r>
    </w:p>
    <w:p>
      <w:pPr>
        <w:numPr>
          <w:ilvl w:val="1"/>
          <w:numId w:val="6"/>
        </w:numPr>
        <w:tabs>
          <w:tab w:val="left" w:pos="1620"/>
          <w:tab w:val="clear" w:pos="1860"/>
        </w:tabs>
        <w:topLinePunct/>
        <w:spacing w:line="460" w:lineRule="exact"/>
        <w:ind w:hanging="1320"/>
        <w:rPr>
          <w:rFonts w:ascii="宋体" w:hAnsi="宋体"/>
          <w:color w:val="auto"/>
          <w:sz w:val="28"/>
          <w:szCs w:val="28"/>
          <w:highlight w:val="none"/>
        </w:rPr>
      </w:pPr>
      <w:r>
        <w:rPr>
          <w:rFonts w:hint="eastAsia" w:ascii="宋体" w:hAnsi="宋体"/>
          <w:color w:val="auto"/>
          <w:sz w:val="28"/>
          <w:szCs w:val="28"/>
          <w:highlight w:val="none"/>
        </w:rPr>
        <w:t>供应商须知</w:t>
      </w:r>
    </w:p>
    <w:p>
      <w:pPr>
        <w:numPr>
          <w:ilvl w:val="1"/>
          <w:numId w:val="6"/>
        </w:numPr>
        <w:tabs>
          <w:tab w:val="left" w:pos="1620"/>
          <w:tab w:val="clear" w:pos="1860"/>
        </w:tabs>
        <w:topLinePunct/>
        <w:spacing w:line="460" w:lineRule="exact"/>
        <w:ind w:hanging="1320"/>
        <w:rPr>
          <w:rFonts w:ascii="宋体" w:hAnsi="宋体"/>
          <w:color w:val="auto"/>
          <w:sz w:val="28"/>
          <w:szCs w:val="28"/>
          <w:highlight w:val="none"/>
        </w:rPr>
      </w:pPr>
      <w:r>
        <w:rPr>
          <w:rFonts w:hint="eastAsia" w:ascii="宋体" w:hAnsi="宋体"/>
          <w:color w:val="auto"/>
          <w:sz w:val="28"/>
          <w:szCs w:val="28"/>
          <w:highlight w:val="none"/>
        </w:rPr>
        <w:t xml:space="preserve"> 项目说明及内容</w:t>
      </w:r>
    </w:p>
    <w:p>
      <w:pPr>
        <w:numPr>
          <w:ilvl w:val="1"/>
          <w:numId w:val="6"/>
        </w:numPr>
        <w:tabs>
          <w:tab w:val="left" w:pos="1620"/>
          <w:tab w:val="clear" w:pos="1860"/>
        </w:tabs>
        <w:topLinePunct/>
        <w:spacing w:line="460" w:lineRule="exact"/>
        <w:ind w:hanging="1320"/>
        <w:rPr>
          <w:rFonts w:ascii="宋体" w:hAnsi="宋体"/>
          <w:color w:val="auto"/>
          <w:sz w:val="28"/>
          <w:szCs w:val="28"/>
          <w:highlight w:val="none"/>
        </w:rPr>
      </w:pPr>
      <w:r>
        <w:rPr>
          <w:rFonts w:hint="eastAsia" w:ascii="宋体" w:hAnsi="宋体"/>
          <w:color w:val="auto"/>
          <w:sz w:val="28"/>
          <w:szCs w:val="28"/>
          <w:highlight w:val="none"/>
        </w:rPr>
        <w:t xml:space="preserve"> 合同参考范本</w:t>
      </w:r>
    </w:p>
    <w:p>
      <w:pPr>
        <w:numPr>
          <w:ilvl w:val="1"/>
          <w:numId w:val="6"/>
        </w:numPr>
        <w:tabs>
          <w:tab w:val="left" w:pos="1620"/>
          <w:tab w:val="clear" w:pos="1860"/>
        </w:tabs>
        <w:topLinePunct/>
        <w:spacing w:line="460" w:lineRule="exact"/>
        <w:ind w:hanging="1320"/>
        <w:rPr>
          <w:rFonts w:ascii="宋体" w:hAnsi="宋体"/>
          <w:color w:val="auto"/>
          <w:sz w:val="28"/>
          <w:szCs w:val="28"/>
          <w:highlight w:val="none"/>
        </w:rPr>
      </w:pPr>
      <w:r>
        <w:rPr>
          <w:rFonts w:hint="eastAsia" w:ascii="宋体" w:hAnsi="宋体"/>
          <w:color w:val="auto"/>
          <w:sz w:val="28"/>
          <w:szCs w:val="28"/>
          <w:highlight w:val="none"/>
        </w:rPr>
        <w:t xml:space="preserve"> 附件</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9.2除本须知第10.1款内容外，采购代理机构在报价截止时间前，以书面形式发出的对磋商文件的澄清、修改或补充等内容，均为磋商文件的组成部分，对供应商起约束作用。</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9.3供应商获取磋商文件后，应认真阅读磋商文件中所有的事项、格式、条款和规范等要求。如果供应商没有按照磋商文件要求和规定编制响应文件及提交全部资料，或者响应文件没有对磋商文件在各方面都做出实质性响应，其风险应由供应商承担；并根据有关条款规定，其报价有可能被拒绝。</w:t>
      </w:r>
    </w:p>
    <w:p>
      <w:pPr>
        <w:spacing w:line="440" w:lineRule="exact"/>
        <w:ind w:firstLine="562" w:firstLineChars="200"/>
        <w:rPr>
          <w:rFonts w:ascii="宋体" w:hAnsi="宋体"/>
          <w:b/>
          <w:color w:val="auto"/>
          <w:sz w:val="28"/>
          <w:szCs w:val="21"/>
          <w:highlight w:val="none"/>
        </w:rPr>
      </w:pPr>
      <w:r>
        <w:rPr>
          <w:rFonts w:hint="eastAsia" w:ascii="宋体" w:hAnsi="宋体"/>
          <w:b/>
          <w:color w:val="auto"/>
          <w:sz w:val="28"/>
          <w:szCs w:val="21"/>
          <w:highlight w:val="none"/>
        </w:rPr>
        <w:t>10.磋商文件的澄清、修改、补充</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10.1 提交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 5 日前，以书面形式通知所有获取磋商文件的供应商；不足5 日的，采购人、采购代理机构应当顺延提交首次响应文件截止时间。</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10.2供应商对磋商文件如有疑问要求澄清，须用书面形式（包括信函、传真）通知采购人（采购代理机构），采购人（采购代理机构）对在提交首次响应文件截止时间前收到的要求答疑的问题用书面形式予以答复，并在其认为必要时，将不标明问题来源的书面答复发给所有购买磋商文件的供应商。</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10.3磋商文件的修改将以书面形式或在中国山东政府采购网、临沂市公共资源交易网网上通知所有购买同一磋商文件的供应商，并对其具有约束力。供应商应在收到该修改文件后1日内以书面形式回复采购代理机构，确认已收到该修改文件。</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10.4磋商文件的澄清、修改、补充等内容均以书面形式或在中国山东政府采购网、临沂市公共资源交易网网上通知明确的内容为准。当磋商文件、磋商文件的澄清、修改、补充等在同一内容的表述上不一致时，以最后发出的书面形式或在中国山东政府采购网、临沂市公共资源交易网的通知为准（若在政府采购网上发出通知，则视为所有供应商都已收到磋商文件的澄清、修改、补充等内容）。</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 xml:space="preserve">10.5为使供应商编写响应文件时有充分的时间对磋商文件的澄清、修改、补充等内容进行研究，采购代理机构有权推迟投标截止时间和磋商时间，并将此变更书面或在中国山东政府采购网、临沂市公共资源交易网上通知所有购买同一磋商文件的供应商。 </w:t>
      </w:r>
    </w:p>
    <w:p>
      <w:pPr>
        <w:spacing w:line="440" w:lineRule="exact"/>
        <w:ind w:firstLine="560" w:firstLineChars="200"/>
        <w:rPr>
          <w:rFonts w:ascii="宋体"/>
          <w:color w:val="auto"/>
          <w:sz w:val="28"/>
          <w:szCs w:val="21"/>
          <w:highlight w:val="none"/>
        </w:rPr>
      </w:pPr>
      <w:r>
        <w:rPr>
          <w:rFonts w:hint="eastAsia" w:ascii="宋体" w:hAnsi="宋体"/>
          <w:color w:val="auto"/>
          <w:sz w:val="28"/>
          <w:szCs w:val="21"/>
          <w:highlight w:val="none"/>
        </w:rPr>
        <w:t>10.6自磋商文件发布至正式开标前，供应商除就标书问题与采购人进行咨询外，禁止以任何其他方式与采购人进行沟通接触，否则予以取消投标资格。</w:t>
      </w:r>
    </w:p>
    <w:p>
      <w:pPr>
        <w:topLinePunct/>
        <w:spacing w:line="440" w:lineRule="exact"/>
        <w:ind w:firstLine="562" w:firstLineChars="200"/>
        <w:rPr>
          <w:rFonts w:ascii="宋体" w:hAnsi="宋体"/>
          <w:b/>
          <w:bCs/>
          <w:color w:val="auto"/>
          <w:sz w:val="28"/>
          <w:szCs w:val="21"/>
          <w:highlight w:val="none"/>
        </w:rPr>
      </w:pPr>
      <w:r>
        <w:rPr>
          <w:rFonts w:hint="eastAsia" w:ascii="宋体" w:hAnsi="宋体"/>
          <w:b/>
          <w:bCs/>
          <w:color w:val="auto"/>
          <w:sz w:val="28"/>
          <w:szCs w:val="21"/>
          <w:highlight w:val="none"/>
        </w:rPr>
        <w:t>11.答疑会和现场考察</w:t>
      </w:r>
    </w:p>
    <w:p>
      <w:pPr>
        <w:topLinePunct/>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不组织。</w:t>
      </w:r>
    </w:p>
    <w:p>
      <w:pPr>
        <w:topLinePunct/>
        <w:spacing w:line="440" w:lineRule="exact"/>
        <w:ind w:firstLine="562" w:firstLineChars="200"/>
        <w:rPr>
          <w:rFonts w:ascii="宋体"/>
          <w:b/>
          <w:bCs/>
          <w:color w:val="auto"/>
          <w:sz w:val="28"/>
          <w:szCs w:val="21"/>
          <w:highlight w:val="none"/>
        </w:rPr>
      </w:pPr>
      <w:r>
        <w:rPr>
          <w:rFonts w:hint="eastAsia" w:ascii="宋体" w:hAnsi="宋体"/>
          <w:b/>
          <w:bCs/>
          <w:color w:val="auto"/>
          <w:sz w:val="28"/>
          <w:szCs w:val="21"/>
          <w:highlight w:val="none"/>
        </w:rPr>
        <w:t>12.解释权</w:t>
      </w:r>
    </w:p>
    <w:p>
      <w:pPr>
        <w:topLinePunct/>
        <w:spacing w:line="440" w:lineRule="exact"/>
        <w:ind w:left="480"/>
        <w:rPr>
          <w:rFonts w:ascii="宋体"/>
          <w:color w:val="auto"/>
          <w:sz w:val="28"/>
          <w:szCs w:val="21"/>
          <w:highlight w:val="none"/>
        </w:rPr>
      </w:pPr>
      <w:r>
        <w:rPr>
          <w:rFonts w:hint="eastAsia" w:ascii="宋体" w:hAnsi="宋体"/>
          <w:color w:val="auto"/>
          <w:sz w:val="28"/>
          <w:szCs w:val="21"/>
          <w:highlight w:val="none"/>
        </w:rPr>
        <w:t>12.1本次采购的解释权归采购代理机构。</w:t>
      </w:r>
    </w:p>
    <w:p>
      <w:pPr>
        <w:topLinePunct/>
        <w:spacing w:line="440" w:lineRule="exact"/>
        <w:ind w:left="480"/>
        <w:rPr>
          <w:rFonts w:ascii="宋体" w:hAnsi="宋体"/>
          <w:color w:val="auto"/>
          <w:sz w:val="28"/>
          <w:szCs w:val="21"/>
          <w:highlight w:val="none"/>
        </w:rPr>
      </w:pPr>
      <w:r>
        <w:rPr>
          <w:rFonts w:hint="eastAsia" w:ascii="宋体" w:hAnsi="宋体"/>
          <w:color w:val="auto"/>
          <w:sz w:val="28"/>
          <w:szCs w:val="21"/>
          <w:highlight w:val="none"/>
        </w:rPr>
        <w:t>12.2磋商文件未作须知明示，而又有相关法律、法规规定的，以涉及到的相关法律、法规的规定为依据处理。</w:t>
      </w:r>
    </w:p>
    <w:p>
      <w:pPr>
        <w:pStyle w:val="26"/>
        <w:spacing w:line="440" w:lineRule="exact"/>
        <w:ind w:firstLine="560"/>
        <w:rPr>
          <w:color w:val="auto"/>
          <w:sz w:val="22"/>
          <w:szCs w:val="21"/>
          <w:highlight w:val="none"/>
        </w:rPr>
      </w:pPr>
      <w:r>
        <w:rPr>
          <w:rFonts w:hint="eastAsia" w:ascii="宋体" w:hAnsi="宋体"/>
          <w:color w:val="auto"/>
          <w:sz w:val="28"/>
          <w:szCs w:val="21"/>
          <w:highlight w:val="none"/>
        </w:rPr>
        <w:t>12.3若供应商没有按磋商文件的规定提出异议，则视为供应商同意及接受本磋商文件之全部内容及条款。</w:t>
      </w:r>
    </w:p>
    <w:p>
      <w:pPr>
        <w:topLinePunct/>
        <w:spacing w:line="440" w:lineRule="exact"/>
        <w:ind w:left="480"/>
        <w:rPr>
          <w:rFonts w:ascii="宋体"/>
          <w:b/>
          <w:bCs/>
          <w:color w:val="auto"/>
          <w:sz w:val="28"/>
          <w:szCs w:val="21"/>
          <w:highlight w:val="none"/>
        </w:rPr>
      </w:pPr>
      <w:r>
        <w:rPr>
          <w:rFonts w:ascii="宋体" w:hAnsi="宋体"/>
          <w:b/>
          <w:bCs/>
          <w:color w:val="auto"/>
          <w:sz w:val="28"/>
          <w:szCs w:val="21"/>
          <w:highlight w:val="none"/>
        </w:rPr>
        <w:t>1</w:t>
      </w:r>
      <w:r>
        <w:rPr>
          <w:rFonts w:hint="eastAsia" w:ascii="宋体" w:hAnsi="宋体"/>
          <w:b/>
          <w:bCs/>
          <w:color w:val="auto"/>
          <w:sz w:val="28"/>
          <w:szCs w:val="21"/>
          <w:highlight w:val="none"/>
        </w:rPr>
        <w:t>3.知识产权</w:t>
      </w:r>
    </w:p>
    <w:p>
      <w:pPr>
        <w:topLinePunct/>
        <w:spacing w:line="440" w:lineRule="exact"/>
        <w:ind w:firstLine="560" w:firstLineChars="200"/>
        <w:rPr>
          <w:rFonts w:ascii="宋体"/>
          <w:color w:val="auto"/>
          <w:sz w:val="28"/>
          <w:szCs w:val="21"/>
          <w:highlight w:val="none"/>
        </w:rPr>
      </w:pPr>
      <w:r>
        <w:rPr>
          <w:rFonts w:hint="eastAsia" w:ascii="宋体" w:hAnsi="宋体"/>
          <w:color w:val="auto"/>
          <w:sz w:val="28"/>
          <w:szCs w:val="21"/>
          <w:highlight w:val="none"/>
        </w:rPr>
        <w:t>13.1供应商应保证在本项目使用的任何货物和服务（包括部分使用）时，不会产生因第三方提出侵犯其专利权、商标权或其它知识产权而引起的法律和经济纠纷，如因专利权、商标权或其它知识产权而引起法律和经济纠纷，由供应商承担所有相关责任。</w:t>
      </w:r>
    </w:p>
    <w:p>
      <w:pPr>
        <w:topLinePunct/>
        <w:spacing w:line="440" w:lineRule="exact"/>
        <w:ind w:firstLine="560" w:firstLineChars="200"/>
        <w:rPr>
          <w:rFonts w:ascii="宋体"/>
          <w:color w:val="auto"/>
          <w:sz w:val="28"/>
          <w:szCs w:val="21"/>
          <w:highlight w:val="none"/>
        </w:rPr>
      </w:pPr>
      <w:r>
        <w:rPr>
          <w:rFonts w:hint="eastAsia" w:ascii="宋体" w:hAnsi="宋体"/>
          <w:color w:val="auto"/>
          <w:sz w:val="28"/>
          <w:szCs w:val="21"/>
          <w:highlight w:val="none"/>
        </w:rPr>
        <w:t>13.2采购人享有本项目实施过程中产生的知识成果及知识产权。</w:t>
      </w:r>
    </w:p>
    <w:p>
      <w:pPr>
        <w:topLinePunct/>
        <w:spacing w:line="440" w:lineRule="exact"/>
        <w:ind w:firstLine="560" w:firstLineChars="200"/>
        <w:rPr>
          <w:rFonts w:ascii="宋体"/>
          <w:color w:val="auto"/>
          <w:sz w:val="28"/>
          <w:szCs w:val="21"/>
          <w:highlight w:val="none"/>
        </w:rPr>
      </w:pPr>
      <w:r>
        <w:rPr>
          <w:rFonts w:hint="eastAsia" w:ascii="宋体" w:hAnsi="宋体"/>
          <w:color w:val="auto"/>
          <w:sz w:val="28"/>
          <w:szCs w:val="21"/>
          <w:highlight w:val="none"/>
        </w:rPr>
        <w:t>13.3供应商如欲在项目实施过程中采用自有知识成果，需在响应文件中声明，并提供相关知识产权证明文件。</w:t>
      </w:r>
    </w:p>
    <w:p>
      <w:pPr>
        <w:topLinePunct/>
        <w:spacing w:line="440" w:lineRule="exact"/>
        <w:ind w:firstLine="560" w:firstLineChars="200"/>
        <w:rPr>
          <w:rFonts w:ascii="宋体"/>
          <w:color w:val="auto"/>
          <w:sz w:val="28"/>
          <w:szCs w:val="21"/>
          <w:highlight w:val="none"/>
        </w:rPr>
      </w:pPr>
      <w:r>
        <w:rPr>
          <w:rFonts w:hint="eastAsia" w:ascii="宋体" w:hAnsi="宋体"/>
          <w:color w:val="auto"/>
          <w:sz w:val="28"/>
          <w:szCs w:val="21"/>
          <w:highlight w:val="none"/>
        </w:rPr>
        <w:t>13.4如采用供应商所不拥有的知识产权，则在投标报价中应当包括合法获取该知识产权的相关费用。</w:t>
      </w:r>
    </w:p>
    <w:p>
      <w:pPr>
        <w:topLinePunct/>
        <w:spacing w:line="440" w:lineRule="exact"/>
        <w:ind w:left="480"/>
        <w:rPr>
          <w:rFonts w:ascii="宋体"/>
          <w:color w:val="auto"/>
          <w:sz w:val="28"/>
          <w:szCs w:val="21"/>
          <w:highlight w:val="none"/>
        </w:rPr>
      </w:pPr>
      <w:r>
        <w:rPr>
          <w:rFonts w:hint="eastAsia" w:ascii="宋体" w:hAnsi="宋体"/>
          <w:color w:val="auto"/>
          <w:sz w:val="28"/>
          <w:szCs w:val="21"/>
          <w:highlight w:val="none"/>
        </w:rPr>
        <w:t>13.5投标货物中所用软件需为正版软件，不得使用盗版软件。</w:t>
      </w:r>
    </w:p>
    <w:p>
      <w:pPr>
        <w:topLinePunct/>
        <w:spacing w:line="440" w:lineRule="exact"/>
        <w:ind w:left="480"/>
        <w:rPr>
          <w:rFonts w:ascii="宋体"/>
          <w:b/>
          <w:bCs/>
          <w:color w:val="auto"/>
          <w:sz w:val="28"/>
          <w:szCs w:val="21"/>
          <w:highlight w:val="none"/>
        </w:rPr>
      </w:pPr>
      <w:r>
        <w:rPr>
          <w:rFonts w:ascii="宋体" w:hAnsi="宋体"/>
          <w:b/>
          <w:bCs/>
          <w:color w:val="auto"/>
          <w:sz w:val="28"/>
          <w:szCs w:val="21"/>
          <w:highlight w:val="none"/>
        </w:rPr>
        <w:t>1</w:t>
      </w:r>
      <w:r>
        <w:rPr>
          <w:rFonts w:hint="eastAsia" w:ascii="宋体" w:hAnsi="宋体"/>
          <w:b/>
          <w:bCs/>
          <w:color w:val="auto"/>
          <w:sz w:val="28"/>
          <w:szCs w:val="21"/>
          <w:highlight w:val="none"/>
        </w:rPr>
        <w:t>4.磋商文件的约束力</w:t>
      </w:r>
    </w:p>
    <w:p>
      <w:pPr>
        <w:pStyle w:val="23"/>
        <w:spacing w:line="440" w:lineRule="exact"/>
        <w:ind w:firstLine="560" w:firstLineChars="200"/>
        <w:rPr>
          <w:color w:val="auto"/>
          <w:sz w:val="28"/>
          <w:szCs w:val="28"/>
          <w:highlight w:val="none"/>
        </w:rPr>
      </w:pPr>
      <w:r>
        <w:rPr>
          <w:rFonts w:hint="eastAsia" w:hAnsi="宋体"/>
          <w:color w:val="auto"/>
          <w:sz w:val="28"/>
          <w:szCs w:val="28"/>
          <w:highlight w:val="none"/>
        </w:rPr>
        <w:t>供应商一旦参加本项目投标，即被认为接受了本磋商文件的条件和规定。</w:t>
      </w:r>
    </w:p>
    <w:p>
      <w:pPr>
        <w:rPr>
          <w:rFonts w:ascii="宋体" w:hAnsi="宋体"/>
          <w:color w:val="auto"/>
          <w:sz w:val="24"/>
          <w:szCs w:val="52"/>
          <w:highlight w:val="none"/>
        </w:rPr>
      </w:pPr>
    </w:p>
    <w:p>
      <w:pPr>
        <w:pStyle w:val="4"/>
        <w:snapToGrid w:val="0"/>
        <w:spacing w:beforeLines="150" w:afterLines="100" w:line="440" w:lineRule="exact"/>
        <w:rPr>
          <w:rFonts w:ascii="宋体" w:hAnsi="宋体" w:eastAsia="宋体"/>
          <w:color w:val="auto"/>
          <w:sz w:val="32"/>
          <w:szCs w:val="32"/>
          <w:highlight w:val="none"/>
        </w:rPr>
      </w:pPr>
      <w:bookmarkStart w:id="6" w:name="_Toc2190"/>
      <w:bookmarkStart w:id="7" w:name="_Toc11438"/>
      <w:bookmarkStart w:id="8" w:name="_Toc412626483"/>
      <w:r>
        <w:rPr>
          <w:rFonts w:hint="eastAsia" w:ascii="宋体" w:hAnsi="宋体" w:eastAsia="宋体"/>
          <w:color w:val="auto"/>
          <w:sz w:val="32"/>
          <w:szCs w:val="32"/>
          <w:highlight w:val="none"/>
        </w:rPr>
        <w:t>三、响应文件的编制</w:t>
      </w:r>
      <w:bookmarkEnd w:id="6"/>
      <w:bookmarkEnd w:id="7"/>
      <w:bookmarkEnd w:id="8"/>
    </w:p>
    <w:p>
      <w:pPr>
        <w:pStyle w:val="2"/>
        <w:spacing w:line="460" w:lineRule="exact"/>
        <w:ind w:firstLine="281" w:firstLineChars="100"/>
        <w:rPr>
          <w:rFonts w:ascii="宋体" w:hAnsi="宋体"/>
          <w:b/>
          <w:color w:val="auto"/>
          <w:sz w:val="28"/>
          <w:szCs w:val="28"/>
          <w:highlight w:val="none"/>
        </w:rPr>
      </w:pPr>
      <w:r>
        <w:rPr>
          <w:rFonts w:hint="eastAsia" w:ascii="宋体" w:hAnsi="宋体"/>
          <w:b/>
          <w:color w:val="auto"/>
          <w:sz w:val="28"/>
          <w:szCs w:val="28"/>
          <w:highlight w:val="none"/>
        </w:rPr>
        <w:t>15.响应文件的组成</w:t>
      </w:r>
    </w:p>
    <w:p>
      <w:pPr>
        <w:topLinePunct/>
        <w:spacing w:line="46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15.1供应商编制的响应文件必须符合有关法律、法规的要求。供应商应仔细阅读磋商文件的所有内容，按磋商文件的要求提供响应文件，并保证所提供的全部资料的真实性、准确性及完整性，以使其投标对磋商文件做出实质性响应。如投标供应商未能按磋商文件要求提交全部资料，或没有按照磋商文件要求做出实质性响应，评审小组有权取消其中标资格。</w:t>
      </w:r>
    </w:p>
    <w:p>
      <w:pPr>
        <w:topLinePunct/>
        <w:spacing w:line="460" w:lineRule="exact"/>
        <w:ind w:firstLine="562" w:firstLineChars="200"/>
        <w:rPr>
          <w:rFonts w:ascii="宋体" w:hAnsi="宋体"/>
          <w:b/>
          <w:color w:val="auto"/>
          <w:sz w:val="28"/>
          <w:szCs w:val="21"/>
          <w:highlight w:val="none"/>
        </w:rPr>
      </w:pPr>
      <w:r>
        <w:rPr>
          <w:rFonts w:hint="eastAsia" w:ascii="宋体" w:hAnsi="宋体"/>
          <w:b/>
          <w:color w:val="auto"/>
          <w:sz w:val="28"/>
          <w:szCs w:val="21"/>
          <w:highlight w:val="none"/>
        </w:rPr>
        <w:t>15.2响应文件由商务标书和技术标书两部分组成，包括并不限于以下内容。</w:t>
      </w:r>
    </w:p>
    <w:p>
      <w:pPr>
        <w:topLinePunct/>
        <w:spacing w:line="460" w:lineRule="exact"/>
        <w:ind w:firstLine="562" w:firstLineChars="200"/>
        <w:rPr>
          <w:rFonts w:ascii="宋体" w:hAnsi="宋体"/>
          <w:color w:val="auto"/>
          <w:sz w:val="28"/>
          <w:szCs w:val="21"/>
          <w:highlight w:val="none"/>
        </w:rPr>
      </w:pPr>
      <w:r>
        <w:rPr>
          <w:rFonts w:hint="eastAsia" w:ascii="宋体" w:hAnsi="宋体"/>
          <w:b/>
          <w:color w:val="auto"/>
          <w:sz w:val="28"/>
          <w:szCs w:val="21"/>
          <w:highlight w:val="none"/>
        </w:rPr>
        <w:t>15.2.1商务标书目录（包括但不限于）</w:t>
      </w:r>
    </w:p>
    <w:p>
      <w:pPr>
        <w:numPr>
          <w:ilvl w:val="0"/>
          <w:numId w:val="7"/>
        </w:numPr>
        <w:topLinePunct/>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商务标书目录；</w:t>
      </w:r>
    </w:p>
    <w:p>
      <w:pPr>
        <w:numPr>
          <w:ilvl w:val="0"/>
          <w:numId w:val="7"/>
        </w:numPr>
        <w:topLinePunct/>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报价函（格式见附件）；</w:t>
      </w:r>
    </w:p>
    <w:p>
      <w:pPr>
        <w:numPr>
          <w:ilvl w:val="0"/>
          <w:numId w:val="7"/>
        </w:numPr>
        <w:topLinePunct/>
        <w:spacing w:line="440" w:lineRule="exact"/>
        <w:ind w:firstLine="560" w:firstLineChars="200"/>
        <w:rPr>
          <w:rFonts w:hint="eastAsia" w:ascii="宋体" w:hAnsi="宋体" w:cs="Times New Roman"/>
          <w:color w:val="auto"/>
          <w:sz w:val="28"/>
          <w:szCs w:val="21"/>
          <w:highlight w:val="none"/>
        </w:rPr>
      </w:pPr>
      <w:r>
        <w:rPr>
          <w:rFonts w:hint="eastAsia" w:ascii="宋体" w:hAnsi="宋体" w:cs="Times New Roman"/>
          <w:color w:val="auto"/>
          <w:sz w:val="28"/>
          <w:szCs w:val="21"/>
          <w:highlight w:val="none"/>
        </w:rPr>
        <w:t>法定代表人身份证明书、法定代表人授权委托书（格式见附件）；</w:t>
      </w:r>
    </w:p>
    <w:p>
      <w:pPr>
        <w:numPr>
          <w:ilvl w:val="0"/>
          <w:numId w:val="7"/>
        </w:numPr>
        <w:topLinePunct/>
        <w:spacing w:line="440" w:lineRule="exact"/>
        <w:ind w:firstLine="560" w:firstLineChars="200"/>
        <w:rPr>
          <w:rFonts w:hint="default" w:ascii="宋体" w:hAnsi="宋体" w:cs="Times New Roman"/>
          <w:color w:val="auto"/>
          <w:sz w:val="28"/>
          <w:szCs w:val="21"/>
          <w:highlight w:val="none"/>
          <w:lang w:val="en-US" w:eastAsia="zh-CN"/>
        </w:rPr>
      </w:pPr>
      <w:r>
        <w:rPr>
          <w:rFonts w:hint="eastAsia" w:ascii="宋体" w:hAnsi="宋体" w:cs="Times New Roman"/>
          <w:color w:val="auto"/>
          <w:sz w:val="28"/>
          <w:szCs w:val="21"/>
          <w:highlight w:val="none"/>
          <w:lang w:val="en-US" w:eastAsia="zh-CN"/>
        </w:rPr>
        <w:t>投标保证金；</w:t>
      </w:r>
    </w:p>
    <w:p>
      <w:pPr>
        <w:numPr>
          <w:ilvl w:val="0"/>
          <w:numId w:val="7"/>
        </w:numPr>
        <w:topLinePunct/>
        <w:spacing w:line="440" w:lineRule="exact"/>
        <w:ind w:firstLine="560" w:firstLineChars="200"/>
        <w:rPr>
          <w:rFonts w:hint="eastAsia" w:ascii="宋体" w:hAnsi="宋体" w:cs="Times New Roman"/>
          <w:color w:val="auto"/>
          <w:sz w:val="28"/>
          <w:szCs w:val="21"/>
          <w:highlight w:val="none"/>
        </w:rPr>
      </w:pPr>
      <w:r>
        <w:rPr>
          <w:rFonts w:hint="eastAsia" w:ascii="宋体" w:hAnsi="宋体" w:cs="Times New Roman"/>
          <w:color w:val="auto"/>
          <w:sz w:val="28"/>
          <w:szCs w:val="21"/>
          <w:highlight w:val="none"/>
        </w:rPr>
        <w:t>报价一览表（格式见附件）；</w:t>
      </w:r>
    </w:p>
    <w:p>
      <w:pPr>
        <w:numPr>
          <w:ilvl w:val="0"/>
          <w:numId w:val="7"/>
        </w:numPr>
        <w:topLinePunct/>
        <w:spacing w:line="440" w:lineRule="exact"/>
        <w:ind w:firstLine="560" w:firstLineChars="200"/>
        <w:rPr>
          <w:rFonts w:ascii="宋体" w:hAnsi="宋体"/>
          <w:color w:val="auto"/>
          <w:sz w:val="28"/>
          <w:szCs w:val="21"/>
          <w:highlight w:val="none"/>
        </w:rPr>
      </w:pPr>
      <w:r>
        <w:rPr>
          <w:rFonts w:hint="eastAsia" w:ascii="宋体" w:hAnsi="宋体" w:cs="Times New Roman"/>
          <w:color w:val="auto"/>
          <w:sz w:val="28"/>
          <w:szCs w:val="21"/>
          <w:highlight w:val="none"/>
          <w:lang w:val="en-US" w:eastAsia="zh-CN"/>
        </w:rPr>
        <w:t>已标价的工程量清单</w:t>
      </w:r>
      <w:r>
        <w:rPr>
          <w:rFonts w:hint="eastAsia" w:ascii="宋体" w:hAnsi="宋体" w:cs="Times New Roman"/>
          <w:color w:val="auto"/>
          <w:sz w:val="28"/>
          <w:szCs w:val="21"/>
          <w:highlight w:val="none"/>
        </w:rPr>
        <w:t>（格式见附件</w:t>
      </w:r>
      <w:r>
        <w:rPr>
          <w:rFonts w:hint="eastAsia" w:ascii="宋体" w:hAnsi="宋体"/>
          <w:color w:val="auto"/>
          <w:sz w:val="28"/>
          <w:szCs w:val="21"/>
          <w:highlight w:val="none"/>
        </w:rPr>
        <w:t>）；</w:t>
      </w:r>
    </w:p>
    <w:p>
      <w:pPr>
        <w:numPr>
          <w:ilvl w:val="0"/>
          <w:numId w:val="7"/>
        </w:numPr>
        <w:topLinePunct/>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供应商基本情况表（格式见附件）；</w:t>
      </w:r>
    </w:p>
    <w:p>
      <w:pPr>
        <w:numPr>
          <w:ilvl w:val="0"/>
          <w:numId w:val="7"/>
        </w:numPr>
        <w:topLinePunct/>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供应商本项目管理、技术、服务人员情况表（格式见附件）；</w:t>
      </w:r>
    </w:p>
    <w:p>
      <w:pPr>
        <w:numPr>
          <w:ilvl w:val="0"/>
          <w:numId w:val="7"/>
        </w:numPr>
        <w:topLinePunct/>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同类项目业绩一览表（自2018年1月1日来完成的同类业绩，以合同原件为准</w:t>
      </w:r>
      <w:r>
        <w:rPr>
          <w:rFonts w:hint="eastAsia" w:ascii="宋体" w:hAnsi="宋体"/>
          <w:color w:val="auto"/>
          <w:sz w:val="28"/>
          <w:szCs w:val="21"/>
          <w:highlight w:val="none"/>
          <w:lang w:eastAsia="zh-CN"/>
        </w:rPr>
        <w:t>）</w:t>
      </w:r>
      <w:r>
        <w:rPr>
          <w:rFonts w:hint="eastAsia" w:ascii="宋体" w:hAnsi="宋体"/>
          <w:color w:val="auto"/>
          <w:sz w:val="28"/>
          <w:szCs w:val="21"/>
          <w:highlight w:val="none"/>
        </w:rPr>
        <w:t>；</w:t>
      </w:r>
    </w:p>
    <w:p>
      <w:pPr>
        <w:numPr>
          <w:ilvl w:val="0"/>
          <w:numId w:val="7"/>
        </w:numPr>
        <w:topLinePunct/>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商务条款偏离表（格式见附件）；</w:t>
      </w:r>
    </w:p>
    <w:p>
      <w:pPr>
        <w:numPr>
          <w:ilvl w:val="0"/>
          <w:numId w:val="7"/>
        </w:numPr>
        <w:topLinePunct/>
        <w:spacing w:line="460" w:lineRule="exact"/>
        <w:ind w:firstLine="562" w:firstLineChars="200"/>
        <w:rPr>
          <w:rFonts w:ascii="宋体" w:hAnsi="宋体"/>
          <w:b/>
          <w:bCs/>
          <w:color w:val="auto"/>
          <w:sz w:val="28"/>
          <w:szCs w:val="21"/>
          <w:highlight w:val="none"/>
        </w:rPr>
      </w:pPr>
      <w:r>
        <w:rPr>
          <w:rFonts w:hint="eastAsia" w:ascii="宋体" w:hAnsi="宋体"/>
          <w:b/>
          <w:bCs/>
          <w:color w:val="auto"/>
          <w:sz w:val="28"/>
          <w:szCs w:val="21"/>
          <w:highlight w:val="none"/>
        </w:rPr>
        <w:t>资格资质证明材料：</w:t>
      </w:r>
    </w:p>
    <w:p>
      <w:pPr>
        <w:keepNext w:val="0"/>
        <w:keepLines w:val="0"/>
        <w:pageBreakBefore w:val="0"/>
        <w:widowControl w:val="0"/>
        <w:numPr>
          <w:ilvl w:val="0"/>
          <w:numId w:val="0"/>
        </w:numPr>
        <w:kinsoku/>
        <w:wordWrap/>
        <w:overflowPunct/>
        <w:topLinePunct/>
        <w:autoSpaceDE/>
        <w:autoSpaceDN/>
        <w:bidi w:val="0"/>
        <w:adjustRightInd/>
        <w:snapToGrid/>
        <w:spacing w:line="400" w:lineRule="exact"/>
        <w:ind w:leftChars="0" w:firstLine="562" w:firstLineChars="200"/>
        <w:textAlignment w:val="auto"/>
        <w:rPr>
          <w:rFonts w:ascii="Wingdings" w:hAnsi="Wingdings" w:eastAsia="宋体" w:cs="Wingdings"/>
          <w:b/>
          <w:bCs/>
          <w:color w:val="auto"/>
          <w:kern w:val="0"/>
          <w:sz w:val="28"/>
          <w:szCs w:val="28"/>
          <w:highlight w:val="none"/>
          <w:lang w:val="en-US" w:eastAsia="zh-CN" w:bidi="ar"/>
        </w:rPr>
      </w:pPr>
      <w:r>
        <w:rPr>
          <w:rFonts w:ascii="Wingdings" w:hAnsi="Wingdings" w:eastAsia="宋体" w:cs="Wingdings"/>
          <w:b/>
          <w:bCs/>
          <w:color w:val="auto"/>
          <w:kern w:val="0"/>
          <w:sz w:val="28"/>
          <w:szCs w:val="28"/>
          <w:highlight w:val="none"/>
          <w:lang w:val="en-US" w:eastAsia="zh-CN" w:bidi="ar"/>
        </w:rPr>
        <w:t></w:t>
      </w:r>
      <w:r>
        <w:rPr>
          <w:rFonts w:hint="eastAsia" w:ascii="Wingdings" w:hAnsi="Wingdings" w:eastAsia="宋体" w:cs="Wingdings"/>
          <w:b/>
          <w:bCs/>
          <w:color w:val="auto"/>
          <w:kern w:val="0"/>
          <w:sz w:val="28"/>
          <w:szCs w:val="28"/>
          <w:highlight w:val="none"/>
          <w:lang w:val="en-US" w:eastAsia="zh-CN" w:bidi="ar"/>
        </w:rPr>
        <w:t xml:space="preserve"> 营业执照（副本）；</w:t>
      </w:r>
    </w:p>
    <w:p>
      <w:pPr>
        <w:keepNext w:val="0"/>
        <w:keepLines w:val="0"/>
        <w:pageBreakBefore w:val="0"/>
        <w:widowControl w:val="0"/>
        <w:numPr>
          <w:ilvl w:val="0"/>
          <w:numId w:val="0"/>
        </w:numPr>
        <w:kinsoku/>
        <w:wordWrap/>
        <w:overflowPunct/>
        <w:topLinePunct/>
        <w:autoSpaceDE/>
        <w:autoSpaceDN/>
        <w:bidi w:val="0"/>
        <w:adjustRightInd/>
        <w:snapToGrid/>
        <w:spacing w:line="400" w:lineRule="exact"/>
        <w:ind w:leftChars="0" w:firstLine="562" w:firstLineChars="200"/>
        <w:textAlignment w:val="auto"/>
        <w:rPr>
          <w:rFonts w:hint="eastAsia" w:ascii="Wingdings" w:hAnsi="Wingdings" w:eastAsia="宋体" w:cs="Wingdings"/>
          <w:b/>
          <w:bCs/>
          <w:color w:val="auto"/>
          <w:kern w:val="0"/>
          <w:sz w:val="28"/>
          <w:szCs w:val="28"/>
          <w:highlight w:val="none"/>
          <w:lang w:val="en-US" w:eastAsia="zh-CN" w:bidi="ar"/>
        </w:rPr>
      </w:pPr>
      <w:r>
        <w:rPr>
          <w:rFonts w:ascii="Wingdings" w:hAnsi="Wingdings" w:eastAsia="宋体" w:cs="Wingdings"/>
          <w:b/>
          <w:bCs/>
          <w:color w:val="auto"/>
          <w:kern w:val="0"/>
          <w:sz w:val="28"/>
          <w:szCs w:val="28"/>
          <w:highlight w:val="none"/>
          <w:lang w:val="en-US" w:eastAsia="zh-CN" w:bidi="ar"/>
        </w:rPr>
        <w:t></w:t>
      </w:r>
      <w:r>
        <w:rPr>
          <w:rFonts w:hint="eastAsia" w:ascii="Wingdings" w:hAnsi="Wingdings" w:eastAsia="宋体" w:cs="Wingdings"/>
          <w:b/>
          <w:bCs/>
          <w:color w:val="auto"/>
          <w:kern w:val="0"/>
          <w:sz w:val="28"/>
          <w:szCs w:val="28"/>
          <w:highlight w:val="none"/>
          <w:lang w:val="en-US" w:eastAsia="zh-CN" w:bidi="ar"/>
        </w:rPr>
        <w:t xml:space="preserve"> 资质证书、安全生产许可证；</w:t>
      </w:r>
    </w:p>
    <w:p>
      <w:pPr>
        <w:keepNext w:val="0"/>
        <w:keepLines w:val="0"/>
        <w:pageBreakBefore w:val="0"/>
        <w:widowControl w:val="0"/>
        <w:numPr>
          <w:ilvl w:val="0"/>
          <w:numId w:val="0"/>
        </w:numPr>
        <w:kinsoku/>
        <w:wordWrap/>
        <w:overflowPunct/>
        <w:topLinePunct/>
        <w:autoSpaceDE/>
        <w:autoSpaceDN/>
        <w:bidi w:val="0"/>
        <w:adjustRightInd/>
        <w:snapToGrid/>
        <w:spacing w:line="400" w:lineRule="exact"/>
        <w:ind w:leftChars="0" w:firstLine="562" w:firstLineChars="200"/>
        <w:textAlignment w:val="auto"/>
        <w:rPr>
          <w:rFonts w:hint="eastAsia" w:ascii="Wingdings" w:hAnsi="Wingdings" w:eastAsia="宋体" w:cs="Wingdings"/>
          <w:b/>
          <w:bCs/>
          <w:color w:val="auto"/>
          <w:kern w:val="0"/>
          <w:sz w:val="28"/>
          <w:szCs w:val="28"/>
          <w:highlight w:val="none"/>
          <w:lang w:val="en-US" w:eastAsia="zh-CN" w:bidi="ar"/>
        </w:rPr>
      </w:pPr>
      <w:r>
        <w:rPr>
          <w:rFonts w:ascii="Wingdings" w:hAnsi="Wingdings" w:eastAsia="宋体" w:cs="Wingdings"/>
          <w:b/>
          <w:bCs/>
          <w:color w:val="auto"/>
          <w:kern w:val="0"/>
          <w:sz w:val="28"/>
          <w:szCs w:val="28"/>
          <w:highlight w:val="none"/>
          <w:lang w:val="en-US" w:eastAsia="zh-CN" w:bidi="ar"/>
        </w:rPr>
        <w:t></w:t>
      </w:r>
      <w:r>
        <w:rPr>
          <w:rFonts w:hint="eastAsia" w:ascii="Wingdings" w:hAnsi="Wingdings" w:eastAsia="宋体" w:cs="Wingdings"/>
          <w:b/>
          <w:bCs/>
          <w:color w:val="auto"/>
          <w:kern w:val="0"/>
          <w:sz w:val="28"/>
          <w:szCs w:val="28"/>
          <w:highlight w:val="none"/>
          <w:lang w:val="en-US" w:eastAsia="zh-CN" w:bidi="ar"/>
        </w:rPr>
        <w:t xml:space="preserve"> 注册建造师证书、安全生产考核合格证书（</w:t>
      </w:r>
      <w:r>
        <w:rPr>
          <w:rFonts w:hint="eastAsia" w:ascii="宋体" w:hAnsi="宋体"/>
          <w:b/>
          <w:bCs/>
          <w:color w:val="auto"/>
          <w:sz w:val="28"/>
          <w:szCs w:val="28"/>
          <w:highlight w:val="none"/>
          <w:lang w:val="en-US" w:eastAsia="zh-CN"/>
        </w:rPr>
        <w:t>B</w:t>
      </w:r>
      <w:r>
        <w:rPr>
          <w:rFonts w:hint="eastAsia" w:ascii="Wingdings" w:hAnsi="Wingdings" w:eastAsia="宋体" w:cs="Wingdings"/>
          <w:b/>
          <w:bCs/>
          <w:color w:val="auto"/>
          <w:kern w:val="0"/>
          <w:sz w:val="28"/>
          <w:szCs w:val="28"/>
          <w:highlight w:val="none"/>
          <w:lang w:val="en-US" w:eastAsia="zh-CN" w:bidi="ar"/>
        </w:rPr>
        <w:t>证）；</w:t>
      </w:r>
    </w:p>
    <w:p>
      <w:pPr>
        <w:pStyle w:val="14"/>
        <w:tabs>
          <w:tab w:val="left" w:pos="3450"/>
        </w:tabs>
        <w:spacing w:before="0" w:beforeAutospacing="0" w:after="0" w:afterAutospacing="0" w:line="500" w:lineRule="exact"/>
        <w:ind w:firstLine="562" w:firstLineChars="200"/>
        <w:rPr>
          <w:rFonts w:hint="default" w:ascii="Wingdings" w:hAnsi="Wingdings" w:eastAsia="宋体" w:cs="Wingdings"/>
          <w:b/>
          <w:bCs/>
          <w:color w:val="auto"/>
          <w:kern w:val="0"/>
          <w:sz w:val="28"/>
          <w:szCs w:val="28"/>
          <w:highlight w:val="none"/>
          <w:lang w:val="en-US" w:eastAsia="zh-CN" w:bidi="ar"/>
        </w:rPr>
      </w:pPr>
      <w:r>
        <w:rPr>
          <w:rFonts w:ascii="Wingdings" w:hAnsi="Wingdings" w:eastAsia="宋体" w:cs="Wingdings"/>
          <w:b/>
          <w:bCs/>
          <w:color w:val="auto"/>
          <w:kern w:val="0"/>
          <w:sz w:val="28"/>
          <w:szCs w:val="28"/>
          <w:highlight w:val="none"/>
          <w:lang w:val="en-US" w:eastAsia="zh-CN" w:bidi="ar"/>
        </w:rPr>
        <w:t></w:t>
      </w:r>
      <w:r>
        <w:rPr>
          <w:rFonts w:hint="eastAsia" w:ascii="Wingdings" w:hAnsi="Wingdings" w:eastAsia="宋体" w:cs="Wingdings"/>
          <w:b/>
          <w:bCs/>
          <w:color w:val="auto"/>
          <w:kern w:val="0"/>
          <w:sz w:val="28"/>
          <w:szCs w:val="28"/>
          <w:highlight w:val="none"/>
          <w:lang w:val="en-US" w:eastAsia="zh-CN" w:bidi="ar"/>
        </w:rPr>
        <w:t xml:space="preserve"> </w:t>
      </w:r>
      <w:r>
        <w:rPr>
          <w:rFonts w:hint="eastAsia" w:asciiTheme="minorEastAsia" w:hAnsiTheme="minorEastAsia" w:eastAsiaTheme="minorEastAsia" w:cstheme="minorEastAsia"/>
          <w:b/>
          <w:bCs/>
          <w:color w:val="auto"/>
          <w:sz w:val="28"/>
          <w:szCs w:val="28"/>
          <w:highlight w:val="none"/>
          <w:lang w:val="en-US" w:eastAsia="zh-CN"/>
        </w:rPr>
        <w:t>外墙保温产品系统检验报告、YT保温系统组成材料省级以上型式（含省级）检验报告、外墙保温防火性能检测报告等有关质量证明文件</w:t>
      </w:r>
      <w:r>
        <w:rPr>
          <w:rFonts w:hint="eastAsia" w:ascii="宋体" w:hAnsi="宋体" w:eastAsia="宋体" w:cs="宋体"/>
          <w:b/>
          <w:bCs/>
          <w:color w:val="auto"/>
          <w:kern w:val="0"/>
          <w:sz w:val="28"/>
          <w:szCs w:val="28"/>
          <w:highlight w:val="none"/>
          <w:lang w:val="en-US" w:eastAsia="zh-CN" w:bidi="ar"/>
        </w:rPr>
        <w:t>；</w:t>
      </w:r>
    </w:p>
    <w:p>
      <w:pPr>
        <w:keepNext w:val="0"/>
        <w:keepLines w:val="0"/>
        <w:pageBreakBefore w:val="0"/>
        <w:widowControl w:val="0"/>
        <w:numPr>
          <w:ilvl w:val="0"/>
          <w:numId w:val="0"/>
        </w:numPr>
        <w:kinsoku/>
        <w:wordWrap/>
        <w:overflowPunct/>
        <w:topLinePunct/>
        <w:autoSpaceDE/>
        <w:autoSpaceDN/>
        <w:bidi w:val="0"/>
        <w:adjustRightInd/>
        <w:snapToGrid/>
        <w:spacing w:line="400" w:lineRule="exact"/>
        <w:ind w:leftChars="0" w:firstLine="562" w:firstLineChars="200"/>
        <w:textAlignment w:val="auto"/>
        <w:rPr>
          <w:rFonts w:ascii="Wingdings" w:hAnsi="Wingdings" w:eastAsia="宋体" w:cs="Wingdings"/>
          <w:b/>
          <w:bCs/>
          <w:color w:val="auto"/>
          <w:kern w:val="0"/>
          <w:sz w:val="28"/>
          <w:szCs w:val="28"/>
          <w:highlight w:val="none"/>
          <w:lang w:val="en-US" w:eastAsia="zh-CN" w:bidi="ar"/>
        </w:rPr>
      </w:pPr>
      <w:r>
        <w:rPr>
          <w:rFonts w:ascii="Wingdings" w:hAnsi="Wingdings" w:eastAsia="宋体" w:cs="Wingdings"/>
          <w:b/>
          <w:bCs/>
          <w:color w:val="auto"/>
          <w:kern w:val="0"/>
          <w:sz w:val="28"/>
          <w:szCs w:val="28"/>
          <w:highlight w:val="none"/>
          <w:lang w:val="en-US" w:eastAsia="zh-CN" w:bidi="ar"/>
        </w:rPr>
        <w:t></w:t>
      </w:r>
      <w:r>
        <w:rPr>
          <w:rFonts w:hint="eastAsia" w:ascii="Wingdings" w:hAnsi="Wingdings" w:eastAsia="宋体" w:cs="Wingdings"/>
          <w:b/>
          <w:bCs/>
          <w:color w:val="auto"/>
          <w:kern w:val="0"/>
          <w:sz w:val="28"/>
          <w:szCs w:val="28"/>
          <w:highlight w:val="none"/>
          <w:lang w:val="en-US" w:eastAsia="zh-CN" w:bidi="ar"/>
        </w:rPr>
        <w:t xml:space="preserve"> </w:t>
      </w:r>
      <w:r>
        <w:rPr>
          <w:rFonts w:hint="eastAsia" w:ascii="宋体" w:hAnsi="宋体"/>
          <w:b/>
          <w:bCs/>
          <w:color w:val="auto"/>
          <w:sz w:val="28"/>
          <w:szCs w:val="28"/>
          <w:highlight w:val="none"/>
          <w:lang w:val="en-US" w:eastAsia="zh-CN"/>
        </w:rPr>
        <w:t>2020</w:t>
      </w:r>
      <w:r>
        <w:rPr>
          <w:rFonts w:hint="eastAsia" w:ascii="Wingdings" w:hAnsi="Wingdings" w:eastAsia="宋体" w:cs="Wingdings"/>
          <w:b/>
          <w:bCs/>
          <w:color w:val="auto"/>
          <w:kern w:val="0"/>
          <w:sz w:val="28"/>
          <w:szCs w:val="28"/>
          <w:highlight w:val="none"/>
          <w:lang w:val="en-US" w:eastAsia="zh-CN" w:bidi="ar"/>
        </w:rPr>
        <w:t>年度财务状况报告（经会计事务所或者审计机构审计的财务会计报</w:t>
      </w:r>
      <w:r>
        <w:rPr>
          <w:rFonts w:hint="eastAsia" w:ascii="Wingdings" w:hAnsi="Wingdings" w:cs="Wingdings"/>
          <w:b/>
          <w:bCs/>
          <w:color w:val="auto"/>
          <w:kern w:val="0"/>
          <w:sz w:val="28"/>
          <w:szCs w:val="28"/>
          <w:highlight w:val="none"/>
          <w:lang w:val="en-US" w:eastAsia="zh-CN" w:bidi="ar"/>
        </w:rPr>
        <w:t>告</w:t>
      </w:r>
      <w:r>
        <w:rPr>
          <w:rFonts w:hint="eastAsia" w:ascii="Wingdings" w:hAnsi="Wingdings" w:eastAsia="宋体" w:cs="Wingdings"/>
          <w:b/>
          <w:bCs/>
          <w:color w:val="auto"/>
          <w:kern w:val="0"/>
          <w:sz w:val="28"/>
          <w:szCs w:val="28"/>
          <w:highlight w:val="none"/>
          <w:lang w:val="en-US" w:eastAsia="zh-CN" w:bidi="ar"/>
        </w:rPr>
        <w:t>）；</w:t>
      </w:r>
    </w:p>
    <w:p>
      <w:pPr>
        <w:keepNext w:val="0"/>
        <w:keepLines w:val="0"/>
        <w:pageBreakBefore w:val="0"/>
        <w:widowControl w:val="0"/>
        <w:numPr>
          <w:ilvl w:val="0"/>
          <w:numId w:val="0"/>
        </w:numPr>
        <w:kinsoku/>
        <w:wordWrap/>
        <w:overflowPunct/>
        <w:topLinePunct/>
        <w:autoSpaceDE/>
        <w:autoSpaceDN/>
        <w:bidi w:val="0"/>
        <w:adjustRightInd/>
        <w:snapToGrid/>
        <w:spacing w:line="400" w:lineRule="exact"/>
        <w:ind w:leftChars="0" w:firstLine="560" w:firstLineChars="200"/>
        <w:textAlignment w:val="auto"/>
        <w:rPr>
          <w:rFonts w:ascii="宋体" w:hAnsi="宋体"/>
          <w:b/>
          <w:bCs/>
          <w:color w:val="auto"/>
          <w:sz w:val="28"/>
          <w:szCs w:val="28"/>
          <w:highlight w:val="none"/>
        </w:rPr>
      </w:pPr>
      <w:r>
        <w:rPr>
          <w:rFonts w:ascii="Wingdings" w:hAnsi="Wingdings" w:eastAsia="宋体" w:cs="Wingdings"/>
          <w:color w:val="auto"/>
          <w:kern w:val="0"/>
          <w:sz w:val="28"/>
          <w:szCs w:val="28"/>
          <w:highlight w:val="none"/>
          <w:lang w:val="en-US" w:eastAsia="zh-CN" w:bidi="ar"/>
        </w:rPr>
        <w:t></w:t>
      </w:r>
      <w:r>
        <w:rPr>
          <w:rFonts w:hint="eastAsia" w:ascii="宋体" w:hAnsi="宋体"/>
          <w:b/>
          <w:bCs/>
          <w:color w:val="auto"/>
          <w:sz w:val="28"/>
          <w:szCs w:val="28"/>
          <w:highlight w:val="none"/>
          <w:lang w:val="en-US" w:eastAsia="zh-CN"/>
        </w:rPr>
        <w:t xml:space="preserve"> </w:t>
      </w:r>
      <w:r>
        <w:rPr>
          <w:rFonts w:hint="eastAsia" w:ascii="宋体" w:hAnsi="宋体"/>
          <w:b/>
          <w:bCs/>
          <w:color w:val="auto"/>
          <w:sz w:val="28"/>
          <w:szCs w:val="28"/>
          <w:highlight w:val="none"/>
        </w:rPr>
        <w:t>依法缴纳税收和社会保障资金的相关材料</w:t>
      </w:r>
      <w:r>
        <w:rPr>
          <w:rFonts w:hint="eastAsia" w:ascii="宋体" w:hAnsi="宋体" w:eastAsia="宋体" w:cs="Times New Roman"/>
          <w:b/>
          <w:bCs/>
          <w:color w:val="auto"/>
          <w:sz w:val="28"/>
          <w:szCs w:val="28"/>
          <w:highlight w:val="none"/>
        </w:rPr>
        <w:t>（202</w:t>
      </w:r>
      <w:r>
        <w:rPr>
          <w:rFonts w:hint="eastAsia" w:ascii="宋体" w:hAnsi="宋体" w:eastAsia="宋体" w:cs="Times New Roman"/>
          <w:b/>
          <w:bCs/>
          <w:color w:val="auto"/>
          <w:sz w:val="28"/>
          <w:szCs w:val="28"/>
          <w:highlight w:val="none"/>
          <w:lang w:val="en-US" w:eastAsia="zh-CN"/>
        </w:rPr>
        <w:t>1</w:t>
      </w:r>
      <w:r>
        <w:rPr>
          <w:rFonts w:hint="eastAsia" w:ascii="宋体" w:hAnsi="宋体" w:eastAsia="宋体" w:cs="Times New Roman"/>
          <w:b/>
          <w:bCs/>
          <w:color w:val="auto"/>
          <w:sz w:val="28"/>
          <w:szCs w:val="28"/>
          <w:highlight w:val="none"/>
        </w:rPr>
        <w:t>年</w:t>
      </w:r>
      <w:r>
        <w:rPr>
          <w:rFonts w:hint="eastAsia" w:ascii="宋体" w:hAnsi="宋体" w:eastAsia="宋体" w:cs="Times New Roman"/>
          <w:b/>
          <w:bCs/>
          <w:color w:val="auto"/>
          <w:sz w:val="28"/>
          <w:szCs w:val="28"/>
          <w:highlight w:val="none"/>
          <w:lang w:val="en-US" w:eastAsia="zh-CN"/>
        </w:rPr>
        <w:t>1月-2021年6月</w:t>
      </w:r>
      <w:r>
        <w:rPr>
          <w:rFonts w:hint="eastAsia" w:ascii="宋体" w:hAnsi="宋体" w:eastAsia="宋体" w:cs="Times New Roman"/>
          <w:b/>
          <w:bCs/>
          <w:color w:val="auto"/>
          <w:sz w:val="28"/>
          <w:szCs w:val="28"/>
          <w:highlight w:val="none"/>
        </w:rPr>
        <w:t>）</w:t>
      </w:r>
      <w:r>
        <w:rPr>
          <w:rFonts w:hint="eastAsia" w:ascii="宋体" w:hAnsi="宋体"/>
          <w:b/>
          <w:bCs/>
          <w:color w:val="auto"/>
          <w:sz w:val="28"/>
          <w:szCs w:val="28"/>
          <w:highlight w:val="none"/>
        </w:rPr>
        <w:t>；</w:t>
      </w:r>
    </w:p>
    <w:p>
      <w:pPr>
        <w:keepNext w:val="0"/>
        <w:keepLines w:val="0"/>
        <w:pageBreakBefore w:val="0"/>
        <w:widowControl w:val="0"/>
        <w:numPr>
          <w:ilvl w:val="0"/>
          <w:numId w:val="0"/>
        </w:numPr>
        <w:kinsoku/>
        <w:wordWrap/>
        <w:overflowPunct/>
        <w:topLinePunct/>
        <w:autoSpaceDE/>
        <w:autoSpaceDN/>
        <w:bidi w:val="0"/>
        <w:adjustRightInd/>
        <w:snapToGrid/>
        <w:spacing w:line="400" w:lineRule="exact"/>
        <w:ind w:leftChars="0" w:firstLine="560" w:firstLineChars="200"/>
        <w:textAlignment w:val="auto"/>
        <w:rPr>
          <w:rFonts w:hint="eastAsia" w:ascii="宋体" w:hAnsi="宋体" w:eastAsia="宋体" w:cs="Times New Roman"/>
          <w:b/>
          <w:bCs/>
          <w:color w:val="auto"/>
          <w:sz w:val="28"/>
          <w:szCs w:val="28"/>
          <w:highlight w:val="none"/>
        </w:rPr>
      </w:pPr>
      <w:r>
        <w:rPr>
          <w:rFonts w:ascii="Wingdings" w:hAnsi="Wingdings" w:eastAsia="宋体" w:cs="Wingdings"/>
          <w:color w:val="auto"/>
          <w:kern w:val="0"/>
          <w:sz w:val="28"/>
          <w:szCs w:val="28"/>
          <w:highlight w:val="none"/>
          <w:lang w:val="en-US" w:eastAsia="zh-CN" w:bidi="ar"/>
        </w:rPr>
        <w:t></w:t>
      </w:r>
      <w:r>
        <w:rPr>
          <w:rFonts w:hint="eastAsia" w:ascii="宋体" w:hAnsi="宋体"/>
          <w:b/>
          <w:bCs/>
          <w:color w:val="auto"/>
          <w:sz w:val="28"/>
          <w:szCs w:val="28"/>
          <w:highlight w:val="none"/>
          <w:lang w:val="en-US" w:eastAsia="zh-CN"/>
        </w:rPr>
        <w:t xml:space="preserve"> </w:t>
      </w:r>
      <w:r>
        <w:rPr>
          <w:rFonts w:hint="eastAsia" w:ascii="宋体" w:hAnsi="宋体" w:eastAsia="宋体" w:cs="Times New Roman"/>
          <w:b/>
          <w:bCs/>
          <w:color w:val="auto"/>
          <w:sz w:val="28"/>
          <w:szCs w:val="28"/>
          <w:highlight w:val="none"/>
        </w:rPr>
        <w:t>参加政府采购活动前三年内，在经营活动中没有重大违法记录的声明；</w:t>
      </w:r>
    </w:p>
    <w:p>
      <w:pPr>
        <w:keepNext w:val="0"/>
        <w:keepLines w:val="0"/>
        <w:pageBreakBefore w:val="0"/>
        <w:widowControl w:val="0"/>
        <w:numPr>
          <w:ilvl w:val="0"/>
          <w:numId w:val="0"/>
        </w:numPr>
        <w:kinsoku/>
        <w:wordWrap/>
        <w:overflowPunct/>
        <w:topLinePunct/>
        <w:autoSpaceDE/>
        <w:autoSpaceDN/>
        <w:bidi w:val="0"/>
        <w:adjustRightInd/>
        <w:snapToGrid/>
        <w:spacing w:line="400" w:lineRule="exact"/>
        <w:ind w:leftChars="0" w:firstLine="560" w:firstLineChars="200"/>
        <w:textAlignment w:val="auto"/>
        <w:rPr>
          <w:rFonts w:hint="eastAsia" w:ascii="宋体" w:hAnsi="宋体" w:eastAsia="宋体" w:cs="Times New Roman"/>
          <w:b/>
          <w:bCs/>
          <w:color w:val="auto"/>
          <w:sz w:val="28"/>
          <w:szCs w:val="21"/>
          <w:highlight w:val="none"/>
        </w:rPr>
      </w:pPr>
      <w:r>
        <w:rPr>
          <w:rFonts w:ascii="Wingdings" w:hAnsi="Wingdings" w:eastAsia="宋体" w:cs="Wingdings"/>
          <w:color w:val="auto"/>
          <w:kern w:val="0"/>
          <w:sz w:val="28"/>
          <w:szCs w:val="28"/>
          <w:highlight w:val="none"/>
          <w:lang w:val="en-US" w:eastAsia="zh-CN" w:bidi="ar"/>
        </w:rPr>
        <w:t></w:t>
      </w:r>
      <w:r>
        <w:rPr>
          <w:rFonts w:hint="eastAsia" w:ascii="宋体" w:hAnsi="宋体"/>
          <w:b/>
          <w:bCs/>
          <w:color w:val="auto"/>
          <w:sz w:val="28"/>
          <w:szCs w:val="28"/>
          <w:highlight w:val="none"/>
          <w:lang w:val="en-US" w:eastAsia="zh-CN"/>
        </w:rPr>
        <w:t xml:space="preserve"> </w:t>
      </w:r>
      <w:r>
        <w:rPr>
          <w:rFonts w:hint="eastAsia" w:ascii="宋体" w:hAnsi="宋体" w:eastAsia="宋体" w:cs="Times New Roman"/>
          <w:b/>
          <w:bCs/>
          <w:color w:val="auto"/>
          <w:sz w:val="28"/>
          <w:szCs w:val="28"/>
          <w:highlight w:val="none"/>
          <w:lang w:val="en-US" w:eastAsia="zh-CN"/>
        </w:rPr>
        <w:t>在 “ 信 用 中 国 ” 网站</w:t>
      </w:r>
      <w:r>
        <w:rPr>
          <w:rFonts w:hint="eastAsia" w:ascii="宋体" w:hAnsi="宋体" w:eastAsia="宋体" w:cs="Times New Roman"/>
          <w:b/>
          <w:bCs/>
          <w:color w:val="auto"/>
          <w:sz w:val="28"/>
          <w:szCs w:val="21"/>
          <w:highlight w:val="none"/>
          <w:lang w:val="en-US" w:eastAsia="zh-CN"/>
        </w:rPr>
        <w:fldChar w:fldCharType="begin"/>
      </w:r>
      <w:r>
        <w:rPr>
          <w:rFonts w:hint="eastAsia" w:ascii="宋体" w:hAnsi="宋体" w:eastAsia="宋体" w:cs="Times New Roman"/>
          <w:b/>
          <w:bCs/>
          <w:color w:val="auto"/>
          <w:sz w:val="28"/>
          <w:szCs w:val="21"/>
          <w:highlight w:val="none"/>
          <w:lang w:val="en-US" w:eastAsia="zh-CN"/>
        </w:rPr>
        <w:instrText xml:space="preserve"> HYPERLINK "http://www.creditchina.gov.cn/" \h </w:instrText>
      </w:r>
      <w:r>
        <w:rPr>
          <w:rFonts w:hint="eastAsia" w:ascii="宋体" w:hAnsi="宋体" w:eastAsia="宋体" w:cs="Times New Roman"/>
          <w:b/>
          <w:bCs/>
          <w:color w:val="auto"/>
          <w:sz w:val="28"/>
          <w:szCs w:val="21"/>
          <w:highlight w:val="none"/>
          <w:lang w:val="en-US" w:eastAsia="zh-CN"/>
        </w:rPr>
        <w:fldChar w:fldCharType="separate"/>
      </w:r>
      <w:r>
        <w:rPr>
          <w:rFonts w:hint="eastAsia" w:ascii="宋体" w:hAnsi="宋体" w:eastAsia="宋体" w:cs="Times New Roman"/>
          <w:b/>
          <w:bCs/>
          <w:color w:val="auto"/>
          <w:sz w:val="28"/>
          <w:szCs w:val="21"/>
          <w:highlight w:val="none"/>
          <w:lang w:val="en-US" w:eastAsia="zh-CN"/>
        </w:rPr>
        <w:t>（ www.creditchina.gov.cn</w:t>
      </w:r>
      <w:r>
        <w:rPr>
          <w:rFonts w:hint="eastAsia" w:ascii="宋体" w:hAnsi="宋体" w:eastAsia="宋体" w:cs="Times New Roman"/>
          <w:b/>
          <w:bCs/>
          <w:color w:val="auto"/>
          <w:sz w:val="28"/>
          <w:szCs w:val="21"/>
          <w:highlight w:val="none"/>
          <w:lang w:val="en-US" w:eastAsia="zh-CN"/>
        </w:rPr>
        <w:fldChar w:fldCharType="end"/>
      </w:r>
      <w:r>
        <w:rPr>
          <w:rFonts w:hint="eastAsia" w:ascii="宋体" w:hAnsi="宋体" w:eastAsia="宋体" w:cs="Times New Roman"/>
          <w:b/>
          <w:bCs/>
          <w:color w:val="auto"/>
          <w:sz w:val="28"/>
          <w:szCs w:val="21"/>
          <w:highlight w:val="none"/>
          <w:lang w:val="en-US" w:eastAsia="zh-CN"/>
        </w:rPr>
        <w:t xml:space="preserve"> ） 、 中 国 政 府 采 购网 （</w:t>
      </w:r>
      <w:r>
        <w:rPr>
          <w:rFonts w:hint="eastAsia" w:ascii="宋体" w:hAnsi="宋体" w:eastAsia="宋体" w:cs="Times New Roman"/>
          <w:b/>
          <w:bCs/>
          <w:color w:val="auto"/>
          <w:sz w:val="28"/>
          <w:szCs w:val="21"/>
          <w:highlight w:val="none"/>
          <w:lang w:val="en-US" w:eastAsia="zh-CN"/>
        </w:rPr>
        <w:fldChar w:fldCharType="begin"/>
      </w:r>
      <w:r>
        <w:rPr>
          <w:rFonts w:hint="eastAsia" w:ascii="宋体" w:hAnsi="宋体" w:eastAsia="宋体" w:cs="Times New Roman"/>
          <w:b/>
          <w:bCs/>
          <w:color w:val="auto"/>
          <w:sz w:val="28"/>
          <w:szCs w:val="21"/>
          <w:highlight w:val="none"/>
          <w:lang w:val="en-US" w:eastAsia="zh-CN"/>
        </w:rPr>
        <w:instrText xml:space="preserve"> HYPERLINK "http://www.ccgp.gov.cn/" \h </w:instrText>
      </w:r>
      <w:r>
        <w:rPr>
          <w:rFonts w:hint="eastAsia" w:ascii="宋体" w:hAnsi="宋体" w:eastAsia="宋体" w:cs="Times New Roman"/>
          <w:b/>
          <w:bCs/>
          <w:color w:val="auto"/>
          <w:sz w:val="28"/>
          <w:szCs w:val="21"/>
          <w:highlight w:val="none"/>
          <w:lang w:val="en-US" w:eastAsia="zh-CN"/>
        </w:rPr>
        <w:fldChar w:fldCharType="separate"/>
      </w:r>
      <w:r>
        <w:rPr>
          <w:rFonts w:hint="eastAsia" w:ascii="宋体" w:hAnsi="宋体" w:eastAsia="宋体" w:cs="Times New Roman"/>
          <w:b/>
          <w:bCs/>
          <w:color w:val="auto"/>
          <w:sz w:val="28"/>
          <w:szCs w:val="21"/>
          <w:highlight w:val="none"/>
          <w:lang w:val="en-US" w:eastAsia="zh-CN"/>
        </w:rPr>
        <w:t>www.ccgp.gov.cn</w:t>
      </w:r>
      <w:r>
        <w:rPr>
          <w:rFonts w:hint="eastAsia" w:ascii="宋体" w:hAnsi="宋体" w:eastAsia="宋体" w:cs="Times New Roman"/>
          <w:b/>
          <w:bCs/>
          <w:color w:val="auto"/>
          <w:sz w:val="28"/>
          <w:szCs w:val="21"/>
          <w:highlight w:val="none"/>
          <w:lang w:val="en-US" w:eastAsia="zh-CN"/>
        </w:rPr>
        <w:fldChar w:fldCharType="end"/>
      </w:r>
      <w:r>
        <w:rPr>
          <w:rFonts w:hint="eastAsia" w:ascii="宋体" w:hAnsi="宋体" w:eastAsia="宋体" w:cs="Times New Roman"/>
          <w:b/>
          <w:bCs/>
          <w:color w:val="auto"/>
          <w:sz w:val="28"/>
          <w:szCs w:val="21"/>
          <w:highlight w:val="none"/>
          <w:lang w:val="en-US" w:eastAsia="zh-CN"/>
        </w:rPr>
        <w:t>）渠道查询相关主体信用记录中，没有列入非诚信名单的；查询并提供查询结果；</w:t>
      </w:r>
      <w:r>
        <w:rPr>
          <w:rFonts w:hint="eastAsia" w:ascii="宋体" w:hAnsi="宋体" w:eastAsia="宋体" w:cs="Times New Roman"/>
          <w:b/>
          <w:bCs/>
          <w:color w:val="auto"/>
          <w:sz w:val="28"/>
          <w:szCs w:val="21"/>
          <w:highlight w:val="none"/>
          <w:lang w:val="en-US" w:eastAsia="zh-CN"/>
        </w:rPr>
        <w:fldChar w:fldCharType="begin"/>
      </w:r>
      <w:r>
        <w:rPr>
          <w:rFonts w:hint="eastAsia" w:ascii="宋体" w:hAnsi="宋体" w:eastAsia="宋体" w:cs="Times New Roman"/>
          <w:b/>
          <w:bCs/>
          <w:color w:val="auto"/>
          <w:sz w:val="28"/>
          <w:szCs w:val="21"/>
          <w:highlight w:val="none"/>
          <w:lang w:val="en-US" w:eastAsia="zh-CN"/>
        </w:rPr>
        <w:instrText xml:space="preserve"> HYPERLINK "http://wenshu.court.gov.cn/Index" \h </w:instrText>
      </w:r>
      <w:r>
        <w:rPr>
          <w:rFonts w:hint="eastAsia" w:ascii="宋体" w:hAnsi="宋体" w:eastAsia="宋体" w:cs="Times New Roman"/>
          <w:b/>
          <w:bCs/>
          <w:color w:val="auto"/>
          <w:sz w:val="28"/>
          <w:szCs w:val="21"/>
          <w:highlight w:val="none"/>
          <w:lang w:val="en-US" w:eastAsia="zh-CN"/>
        </w:rPr>
        <w:fldChar w:fldCharType="separate"/>
      </w:r>
      <w:r>
        <w:rPr>
          <w:rFonts w:hint="eastAsia" w:ascii="宋体" w:hAnsi="宋体" w:eastAsia="宋体" w:cs="Times New Roman"/>
          <w:b/>
          <w:bCs/>
          <w:color w:val="auto"/>
          <w:sz w:val="28"/>
          <w:szCs w:val="21"/>
          <w:highlight w:val="none"/>
          <w:lang w:val="en-US" w:eastAsia="zh-CN"/>
        </w:rPr>
        <w:t>“中国裁判文书网”网站（http://wenshu.court.gov.cn/Index</w:t>
      </w:r>
      <w:r>
        <w:rPr>
          <w:rFonts w:hint="eastAsia" w:ascii="宋体" w:hAnsi="宋体" w:eastAsia="宋体" w:cs="Times New Roman"/>
          <w:b/>
          <w:bCs/>
          <w:color w:val="auto"/>
          <w:sz w:val="28"/>
          <w:szCs w:val="21"/>
          <w:highlight w:val="none"/>
          <w:lang w:val="en-US" w:eastAsia="zh-CN"/>
        </w:rPr>
        <w:fldChar w:fldCharType="end"/>
      </w:r>
      <w:r>
        <w:rPr>
          <w:rFonts w:hint="eastAsia" w:ascii="宋体" w:hAnsi="宋体" w:eastAsia="宋体" w:cs="Times New Roman"/>
          <w:b/>
          <w:bCs/>
          <w:color w:val="auto"/>
          <w:sz w:val="28"/>
          <w:szCs w:val="21"/>
          <w:highlight w:val="none"/>
          <w:lang w:val="en-US" w:eastAsia="zh-CN"/>
        </w:rPr>
        <w:t>）查询近三年无行贿犯罪记录，提供查询证明截图。</w:t>
      </w:r>
    </w:p>
    <w:p>
      <w:pPr>
        <w:numPr>
          <w:ilvl w:val="0"/>
          <w:numId w:val="0"/>
        </w:numPr>
        <w:topLinePunct/>
        <w:spacing w:line="440" w:lineRule="exact"/>
        <w:ind w:leftChars="0" w:firstLine="480" w:firstLineChars="200"/>
        <w:rPr>
          <w:rFonts w:hint="eastAsia" w:ascii="宋体" w:hAnsi="宋体" w:eastAsia="宋体" w:cs="Times New Roman"/>
          <w:b/>
          <w:bCs/>
          <w:color w:val="auto"/>
          <w:sz w:val="28"/>
          <w:szCs w:val="21"/>
          <w:highlight w:val="none"/>
        </w:rPr>
      </w:pPr>
      <w:r>
        <w:rPr>
          <w:rFonts w:ascii="Wingdings" w:hAnsi="Wingdings" w:eastAsia="宋体" w:cs="Wingdings"/>
          <w:color w:val="auto"/>
          <w:kern w:val="0"/>
          <w:sz w:val="24"/>
          <w:szCs w:val="24"/>
          <w:highlight w:val="none"/>
          <w:lang w:val="en-US" w:eastAsia="zh-CN" w:bidi="ar"/>
        </w:rPr>
        <w:t></w:t>
      </w:r>
      <w:r>
        <w:rPr>
          <w:rFonts w:hint="eastAsia" w:ascii="宋体" w:hAnsi="宋体"/>
          <w:b/>
          <w:bCs/>
          <w:color w:val="auto"/>
          <w:sz w:val="28"/>
          <w:szCs w:val="21"/>
          <w:highlight w:val="none"/>
          <w:lang w:val="en-US" w:eastAsia="zh-CN"/>
        </w:rPr>
        <w:t xml:space="preserve"> </w:t>
      </w:r>
      <w:r>
        <w:rPr>
          <w:rFonts w:hint="eastAsia" w:ascii="宋体" w:hAnsi="宋体" w:eastAsia="宋体" w:cs="Times New Roman"/>
          <w:b/>
          <w:bCs/>
          <w:color w:val="auto"/>
          <w:sz w:val="28"/>
          <w:szCs w:val="21"/>
          <w:highlight w:val="none"/>
        </w:rPr>
        <w:t>供应商认为应当提交的其他资格资质证明材料。</w:t>
      </w:r>
    </w:p>
    <w:p>
      <w:pPr>
        <w:topLinePunct/>
        <w:spacing w:line="440" w:lineRule="exact"/>
        <w:ind w:left="420" w:leftChars="200"/>
        <w:rPr>
          <w:rFonts w:ascii="宋体" w:hAnsi="宋体"/>
          <w:b/>
          <w:bCs/>
          <w:color w:val="auto"/>
          <w:sz w:val="28"/>
          <w:szCs w:val="21"/>
          <w:highlight w:val="none"/>
        </w:rPr>
      </w:pPr>
      <w:r>
        <w:rPr>
          <w:rFonts w:hint="eastAsia" w:ascii="宋体" w:hAnsi="宋体"/>
          <w:b/>
          <w:bCs/>
          <w:color w:val="auto"/>
          <w:sz w:val="28"/>
          <w:szCs w:val="21"/>
          <w:highlight w:val="none"/>
        </w:rPr>
        <w:t>※ 特别说明</w:t>
      </w:r>
    </w:p>
    <w:p>
      <w:pPr>
        <w:widowControl/>
        <w:adjustRightInd w:val="0"/>
        <w:spacing w:line="460" w:lineRule="exact"/>
        <w:ind w:firstLine="562" w:firstLineChars="200"/>
        <w:rPr>
          <w:color w:val="auto"/>
          <w:highlight w:val="none"/>
        </w:rPr>
      </w:pPr>
      <w:r>
        <w:rPr>
          <w:rFonts w:hint="eastAsia" w:ascii="宋体" w:hAnsi="宋体"/>
          <w:b/>
          <w:color w:val="auto"/>
          <w:sz w:val="28"/>
          <w:szCs w:val="21"/>
          <w:highlight w:val="none"/>
          <w:u w:val="double"/>
        </w:rPr>
        <w:t>以上资格资质证明材料必须按照磋商文件的</w:t>
      </w:r>
      <w:r>
        <w:rPr>
          <w:rFonts w:hint="eastAsia" w:ascii="宋体" w:hAnsi="宋体"/>
          <w:b/>
          <w:bCs w:val="0"/>
          <w:color w:val="auto"/>
          <w:sz w:val="28"/>
          <w:szCs w:val="21"/>
          <w:highlight w:val="none"/>
          <w:u w:val="double"/>
        </w:rPr>
        <w:t>要求提交原件</w:t>
      </w:r>
      <w:r>
        <w:rPr>
          <w:rFonts w:hint="eastAsia" w:ascii="宋体" w:hAnsi="宋体"/>
          <w:b/>
          <w:color w:val="auto"/>
          <w:sz w:val="28"/>
          <w:szCs w:val="21"/>
          <w:highlight w:val="none"/>
          <w:u w:val="double"/>
        </w:rPr>
        <w:t>，齐全且真实有效。</w:t>
      </w:r>
      <w:r>
        <w:rPr>
          <w:rFonts w:hint="eastAsia" w:ascii="宋体" w:hAnsi="宋体"/>
          <w:b/>
          <w:color w:val="auto"/>
          <w:sz w:val="28"/>
          <w:szCs w:val="21"/>
          <w:highlight w:val="none"/>
          <w:u w:val="double"/>
          <w:lang w:eastAsia="zh-CN"/>
        </w:rPr>
        <w:t>投标书中扫描件或复印件盖公司公章。</w:t>
      </w:r>
      <w:r>
        <w:rPr>
          <w:rFonts w:ascii="宋体" w:hAnsi="宋体"/>
          <w:b/>
          <w:color w:val="auto"/>
          <w:sz w:val="28"/>
          <w:szCs w:val="21"/>
          <w:highlight w:val="none"/>
          <w:u w:val="double"/>
        </w:rPr>
        <w:t>同时复印件编制在</w:t>
      </w:r>
      <w:r>
        <w:rPr>
          <w:rFonts w:hint="eastAsia" w:ascii="宋体" w:hAnsi="宋体"/>
          <w:b/>
          <w:color w:val="auto"/>
          <w:sz w:val="28"/>
          <w:szCs w:val="21"/>
          <w:highlight w:val="none"/>
          <w:u w:val="double"/>
        </w:rPr>
        <w:t>响应</w:t>
      </w:r>
      <w:r>
        <w:rPr>
          <w:rFonts w:ascii="宋体" w:hAnsi="宋体"/>
          <w:b/>
          <w:color w:val="auto"/>
          <w:sz w:val="28"/>
          <w:szCs w:val="21"/>
          <w:highlight w:val="none"/>
          <w:u w:val="double"/>
        </w:rPr>
        <w:t>文件中</w:t>
      </w:r>
      <w:r>
        <w:rPr>
          <w:rFonts w:hint="eastAsia" w:ascii="宋体" w:hAnsi="宋体"/>
          <w:b/>
          <w:color w:val="auto"/>
          <w:sz w:val="28"/>
          <w:szCs w:val="21"/>
          <w:highlight w:val="none"/>
          <w:u w:val="double"/>
        </w:rPr>
        <w:t>，未提供原件或缺少上述材料复印件的视为供应商资格性审查不合格，不允许进行下一步评标。</w:t>
      </w:r>
    </w:p>
    <w:p>
      <w:pPr>
        <w:pStyle w:val="24"/>
        <w:tabs>
          <w:tab w:val="left" w:pos="1031"/>
        </w:tabs>
        <w:spacing w:before="192"/>
        <w:ind w:left="420" w:leftChars="200" w:firstLine="0" w:firstLineChars="0"/>
        <w:rPr>
          <w:rFonts w:ascii="宋体" w:hAnsi="宋体"/>
          <w:b/>
          <w:color w:val="auto"/>
          <w:sz w:val="28"/>
          <w:szCs w:val="24"/>
          <w:highlight w:val="none"/>
        </w:rPr>
      </w:pPr>
      <w:r>
        <w:rPr>
          <w:rFonts w:hint="eastAsia" w:ascii="宋体" w:hAnsi="宋体"/>
          <w:b/>
          <w:color w:val="auto"/>
          <w:sz w:val="28"/>
          <w:szCs w:val="24"/>
          <w:highlight w:val="none"/>
        </w:rPr>
        <w:t>15.2.2技术标书目录（包括但不限于）</w:t>
      </w:r>
    </w:p>
    <w:p>
      <w:pPr>
        <w:numPr>
          <w:ilvl w:val="0"/>
          <w:numId w:val="8"/>
        </w:numPr>
        <w:topLinePunct/>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技术标书目录</w:t>
      </w:r>
      <w:r>
        <w:rPr>
          <w:rFonts w:hint="eastAsia" w:ascii="宋体" w:hAnsi="宋体"/>
          <w:color w:val="auto"/>
          <w:sz w:val="28"/>
          <w:szCs w:val="21"/>
          <w:highlight w:val="none"/>
        </w:rPr>
        <w:tab/>
      </w:r>
      <w:r>
        <w:rPr>
          <w:rFonts w:hint="eastAsia" w:ascii="宋体" w:hAnsi="宋体"/>
          <w:color w:val="auto"/>
          <w:sz w:val="28"/>
          <w:szCs w:val="21"/>
          <w:highlight w:val="none"/>
        </w:rPr>
        <w:t>；</w:t>
      </w:r>
    </w:p>
    <w:p>
      <w:pPr>
        <w:numPr>
          <w:ilvl w:val="0"/>
          <w:numId w:val="8"/>
        </w:numPr>
        <w:topLinePunct/>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技术条款偏离表（格式见附件）；</w:t>
      </w:r>
    </w:p>
    <w:p>
      <w:pPr>
        <w:numPr>
          <w:ilvl w:val="0"/>
          <w:numId w:val="8"/>
        </w:numPr>
        <w:spacing w:line="462" w:lineRule="exact"/>
        <w:ind w:left="0" w:leftChars="0" w:firstLine="560" w:firstLineChars="200"/>
        <w:rPr>
          <w:rFonts w:hint="eastAsia" w:ascii="宋体" w:hAnsi="宋体" w:eastAsia="宋体" w:cs="宋体"/>
          <w:color w:val="auto"/>
          <w:sz w:val="28"/>
          <w:szCs w:val="28"/>
          <w:highlight w:val="none"/>
          <w:lang w:eastAsia="zh-CN" w:bidi="ar"/>
        </w:rPr>
      </w:pPr>
      <w:r>
        <w:rPr>
          <w:rFonts w:hint="eastAsia" w:ascii="宋体" w:hAnsi="宋体" w:eastAsia="宋体" w:cs="宋体"/>
          <w:color w:val="auto"/>
          <w:sz w:val="28"/>
          <w:szCs w:val="28"/>
          <w:highlight w:val="none"/>
          <w:lang w:eastAsia="zh-CN" w:bidi="ar"/>
        </w:rPr>
        <w:t>专项施工方案：</w:t>
      </w:r>
      <w:r>
        <w:rPr>
          <w:rFonts w:hint="eastAsia" w:ascii="宋体" w:hAnsi="宋体" w:eastAsia="宋体" w:cs="宋体"/>
          <w:color w:val="auto"/>
          <w:sz w:val="28"/>
          <w:szCs w:val="28"/>
          <w:highlight w:val="none"/>
          <w:lang w:bidi="ar"/>
        </w:rPr>
        <w:t>施工程序总体设想，施工阶段划分、编制绿色施工技术措施或专项施工方案，包括</w:t>
      </w:r>
      <w:r>
        <w:rPr>
          <w:rFonts w:hint="eastAsia" w:ascii="宋体" w:hAnsi="宋体" w:eastAsia="宋体" w:cs="宋体"/>
          <w:color w:val="auto"/>
          <w:sz w:val="28"/>
          <w:szCs w:val="28"/>
          <w:highlight w:val="none"/>
          <w:lang w:eastAsia="zh-CN" w:bidi="ar"/>
        </w:rPr>
        <w:t>施工准备、施工工序、施工质量验收控制措施，现场检验检测方案，施工材料、设备进场计划。</w:t>
      </w:r>
    </w:p>
    <w:p>
      <w:pPr>
        <w:numPr>
          <w:ilvl w:val="0"/>
          <w:numId w:val="8"/>
        </w:numPr>
        <w:spacing w:line="462"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施工进度计划和各阶段进度的保证措施及违约责任承诺。</w:t>
      </w:r>
    </w:p>
    <w:p>
      <w:pPr>
        <w:numPr>
          <w:ilvl w:val="0"/>
          <w:numId w:val="8"/>
        </w:numPr>
        <w:spacing w:line="462"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劳动力和材料投入计划及其保证措施。</w:t>
      </w:r>
    </w:p>
    <w:p>
      <w:pPr>
        <w:numPr>
          <w:ilvl w:val="0"/>
          <w:numId w:val="8"/>
        </w:numPr>
        <w:spacing w:line="462"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机械设备投入计划。</w:t>
      </w:r>
    </w:p>
    <w:p>
      <w:pPr>
        <w:numPr>
          <w:ilvl w:val="0"/>
          <w:numId w:val="8"/>
        </w:numPr>
        <w:spacing w:line="462"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施工平面布置和临时设施布置。</w:t>
      </w:r>
    </w:p>
    <w:p>
      <w:pPr>
        <w:numPr>
          <w:ilvl w:val="0"/>
          <w:numId w:val="8"/>
        </w:numPr>
        <w:spacing w:line="462"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关键施工技术、工艺及工程项目实施的重点、难点分析和解决方案。</w:t>
      </w:r>
    </w:p>
    <w:p>
      <w:pPr>
        <w:numPr>
          <w:ilvl w:val="0"/>
          <w:numId w:val="8"/>
        </w:numPr>
        <w:spacing w:line="462"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 xml:space="preserve">安全文明施工措施。 </w:t>
      </w:r>
    </w:p>
    <w:p>
      <w:pPr>
        <w:numPr>
          <w:ilvl w:val="0"/>
          <w:numId w:val="8"/>
        </w:numPr>
        <w:spacing w:line="462"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质量保证和质量违约责任承诺。</w:t>
      </w:r>
    </w:p>
    <w:p>
      <w:pPr>
        <w:numPr>
          <w:ilvl w:val="0"/>
          <w:numId w:val="8"/>
        </w:numPr>
        <w:spacing w:line="462"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新技术应用和违约责任承诺。</w:t>
      </w:r>
    </w:p>
    <w:p>
      <w:pPr>
        <w:numPr>
          <w:ilvl w:val="0"/>
          <w:numId w:val="8"/>
        </w:numPr>
        <w:spacing w:line="462" w:lineRule="exact"/>
        <w:ind w:left="0" w:leftChars="0"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ar"/>
        </w:rPr>
        <w:t>现场用电、用水计划。</w:t>
      </w:r>
    </w:p>
    <w:p>
      <w:pPr>
        <w:numPr>
          <w:ilvl w:val="0"/>
          <w:numId w:val="8"/>
        </w:numPr>
        <w:topLinePunct/>
        <w:spacing w:line="440" w:lineRule="exact"/>
        <w:ind w:left="0" w:leftChars="0" w:firstLine="560" w:firstLineChars="200"/>
        <w:rPr>
          <w:rFonts w:ascii="宋体" w:hAnsi="宋体"/>
          <w:color w:val="auto"/>
          <w:sz w:val="28"/>
          <w:szCs w:val="21"/>
          <w:highlight w:val="none"/>
        </w:rPr>
      </w:pPr>
      <w:r>
        <w:rPr>
          <w:rFonts w:hint="eastAsia" w:ascii="宋体" w:hAnsi="宋体"/>
          <w:color w:val="auto"/>
          <w:sz w:val="28"/>
          <w:szCs w:val="21"/>
          <w:highlight w:val="none"/>
        </w:rPr>
        <w:t>投标人认为需加以说明的其它内容（如对</w:t>
      </w:r>
      <w:r>
        <w:rPr>
          <w:rFonts w:hint="eastAsia" w:ascii="宋体" w:hAnsi="宋体"/>
          <w:color w:val="auto"/>
          <w:sz w:val="28"/>
          <w:szCs w:val="21"/>
          <w:highlight w:val="none"/>
          <w:lang w:eastAsia="zh-CN"/>
        </w:rPr>
        <w:t>磋商文件</w:t>
      </w:r>
      <w:r>
        <w:rPr>
          <w:rFonts w:hint="eastAsia" w:ascii="宋体" w:hAnsi="宋体"/>
          <w:color w:val="auto"/>
          <w:sz w:val="28"/>
          <w:szCs w:val="21"/>
          <w:highlight w:val="none"/>
        </w:rPr>
        <w:t>中所提出服务内容和有关要求的承诺、投标人优势分析、保证产品质量的措施等）；</w:t>
      </w:r>
    </w:p>
    <w:p>
      <w:pPr>
        <w:numPr>
          <w:ilvl w:val="0"/>
          <w:numId w:val="8"/>
        </w:numPr>
        <w:topLinePunct/>
        <w:spacing w:line="440" w:lineRule="exact"/>
        <w:ind w:left="0" w:leftChars="0" w:firstLine="560" w:firstLineChars="200"/>
        <w:rPr>
          <w:rFonts w:ascii="宋体" w:hAnsi="宋体"/>
          <w:color w:val="auto"/>
          <w:sz w:val="28"/>
          <w:szCs w:val="21"/>
          <w:highlight w:val="none"/>
        </w:rPr>
      </w:pPr>
      <w:r>
        <w:rPr>
          <w:rFonts w:hint="eastAsia" w:ascii="宋体" w:hAnsi="宋体"/>
          <w:color w:val="auto"/>
          <w:sz w:val="28"/>
          <w:szCs w:val="21"/>
          <w:highlight w:val="none"/>
        </w:rPr>
        <w:t>临沂市政府采购供应商反商业贿赂承诺书（格式见附件）。</w:t>
      </w:r>
    </w:p>
    <w:p>
      <w:pPr>
        <w:topLinePunct/>
        <w:spacing w:line="460" w:lineRule="exact"/>
        <w:rPr>
          <w:rFonts w:ascii="宋体" w:hAnsi="宋体"/>
          <w:b/>
          <w:bCs/>
          <w:color w:val="auto"/>
          <w:sz w:val="28"/>
          <w:szCs w:val="21"/>
          <w:highlight w:val="none"/>
        </w:rPr>
      </w:pPr>
      <w:r>
        <w:rPr>
          <w:rFonts w:hint="eastAsia" w:ascii="宋体" w:hAnsi="宋体"/>
          <w:b/>
          <w:bCs/>
          <w:color w:val="auto"/>
          <w:sz w:val="28"/>
          <w:szCs w:val="21"/>
          <w:highlight w:val="none"/>
        </w:rPr>
        <w:t>15.2.3</w:t>
      </w:r>
    </w:p>
    <w:p>
      <w:pPr>
        <w:topLinePunct/>
        <w:spacing w:line="460" w:lineRule="exact"/>
        <w:ind w:firstLine="551" w:firstLineChars="196"/>
        <w:rPr>
          <w:rFonts w:ascii="宋体" w:hAnsi="宋体"/>
          <w:b/>
          <w:iCs/>
          <w:color w:val="auto"/>
          <w:sz w:val="28"/>
          <w:szCs w:val="21"/>
          <w:highlight w:val="none"/>
          <w:u w:val="double"/>
        </w:rPr>
      </w:pPr>
      <w:r>
        <w:rPr>
          <w:rFonts w:hint="eastAsia" w:ascii="宋体" w:hAnsi="宋体"/>
          <w:b/>
          <w:iCs/>
          <w:color w:val="auto"/>
          <w:sz w:val="28"/>
          <w:szCs w:val="21"/>
          <w:highlight w:val="none"/>
          <w:u w:val="double"/>
        </w:rPr>
        <w:t>15.3唱标密封袋</w:t>
      </w:r>
    </w:p>
    <w:p>
      <w:pPr>
        <w:topLinePunct/>
        <w:spacing w:line="460" w:lineRule="exact"/>
        <w:ind w:firstLine="551" w:firstLineChars="196"/>
        <w:rPr>
          <w:rFonts w:ascii="宋体" w:hAnsi="宋体"/>
          <w:b/>
          <w:iCs/>
          <w:color w:val="auto"/>
          <w:sz w:val="28"/>
          <w:szCs w:val="21"/>
          <w:highlight w:val="none"/>
          <w:u w:val="double"/>
        </w:rPr>
      </w:pPr>
      <w:r>
        <w:rPr>
          <w:rFonts w:hint="eastAsia" w:ascii="宋体" w:hAnsi="宋体"/>
          <w:b/>
          <w:iCs/>
          <w:color w:val="auto"/>
          <w:sz w:val="28"/>
          <w:szCs w:val="21"/>
          <w:highlight w:val="none"/>
          <w:u w:val="double"/>
        </w:rPr>
        <w:t>请供应商另外准备</w:t>
      </w:r>
      <w:r>
        <w:rPr>
          <w:rFonts w:hint="eastAsia" w:ascii="宋体" w:hAnsi="宋体"/>
          <w:b/>
          <w:bCs/>
          <w:iCs/>
          <w:color w:val="auto"/>
          <w:sz w:val="28"/>
          <w:szCs w:val="21"/>
          <w:highlight w:val="none"/>
          <w:u w:val="double"/>
        </w:rPr>
        <w:t>一式三份</w:t>
      </w:r>
      <w:r>
        <w:rPr>
          <w:rFonts w:hint="eastAsia" w:ascii="宋体" w:hAnsi="宋体"/>
          <w:b/>
          <w:iCs/>
          <w:color w:val="auto"/>
          <w:sz w:val="28"/>
          <w:szCs w:val="21"/>
          <w:highlight w:val="none"/>
          <w:u w:val="double"/>
        </w:rPr>
        <w:t>《报价一览表》</w:t>
      </w:r>
      <w:r>
        <w:rPr>
          <w:rFonts w:hint="eastAsia" w:ascii="宋体" w:hAnsi="宋体"/>
          <w:b/>
          <w:color w:val="auto"/>
          <w:sz w:val="28"/>
          <w:szCs w:val="28"/>
          <w:highlight w:val="none"/>
          <w:u w:val="double"/>
        </w:rPr>
        <w:t>（格式参考附件）</w:t>
      </w:r>
      <w:r>
        <w:rPr>
          <w:rFonts w:hint="eastAsia" w:ascii="宋体" w:hAnsi="宋体"/>
          <w:b/>
          <w:iCs/>
          <w:color w:val="auto"/>
          <w:sz w:val="28"/>
          <w:szCs w:val="21"/>
          <w:highlight w:val="none"/>
          <w:u w:val="double"/>
        </w:rPr>
        <w:t>，用</w:t>
      </w:r>
      <w:r>
        <w:rPr>
          <w:rFonts w:hint="eastAsia" w:ascii="宋体" w:hAnsi="宋体"/>
          <w:b/>
          <w:color w:val="auto"/>
          <w:sz w:val="28"/>
          <w:szCs w:val="21"/>
          <w:highlight w:val="none"/>
          <w:u w:val="double"/>
        </w:rPr>
        <w:t>密封袋</w:t>
      </w:r>
      <w:r>
        <w:rPr>
          <w:rFonts w:hint="eastAsia" w:ascii="宋体" w:hAnsi="宋体"/>
          <w:b/>
          <w:iCs/>
          <w:color w:val="auto"/>
          <w:sz w:val="28"/>
          <w:szCs w:val="21"/>
          <w:highlight w:val="none"/>
          <w:u w:val="double"/>
        </w:rPr>
        <w:t>单独密封，</w:t>
      </w:r>
      <w:r>
        <w:rPr>
          <w:rFonts w:hint="eastAsia" w:ascii="宋体" w:hAnsi="宋体"/>
          <w:b/>
          <w:color w:val="auto"/>
          <w:sz w:val="28"/>
          <w:szCs w:val="21"/>
          <w:highlight w:val="none"/>
          <w:u w:val="double"/>
        </w:rPr>
        <w:t>在封面标明“唱标密封袋”，封口处加盖供应商单位公章。唱标密封袋</w:t>
      </w:r>
      <w:r>
        <w:rPr>
          <w:rFonts w:hint="eastAsia" w:ascii="宋体" w:hAnsi="宋体"/>
          <w:b/>
          <w:iCs/>
          <w:color w:val="auto"/>
          <w:sz w:val="28"/>
          <w:szCs w:val="21"/>
          <w:highlight w:val="none"/>
          <w:u w:val="double"/>
        </w:rPr>
        <w:t>与响应文件同时分别递交</w:t>
      </w:r>
      <w:r>
        <w:rPr>
          <w:rFonts w:hint="eastAsia" w:ascii="宋体" w:hAnsi="宋体"/>
          <w:iCs/>
          <w:color w:val="auto"/>
          <w:sz w:val="28"/>
          <w:szCs w:val="21"/>
          <w:highlight w:val="none"/>
          <w:u w:val="double"/>
        </w:rPr>
        <w:t>。</w:t>
      </w:r>
      <w:r>
        <w:rPr>
          <w:rFonts w:hint="eastAsia" w:ascii="宋体" w:hAnsi="宋体"/>
          <w:b/>
          <w:iCs/>
          <w:color w:val="auto"/>
          <w:sz w:val="28"/>
          <w:szCs w:val="21"/>
          <w:highlight w:val="none"/>
          <w:u w:val="double"/>
        </w:rPr>
        <w:t>如未提供则视为无效标。</w:t>
      </w:r>
    </w:p>
    <w:p>
      <w:pPr>
        <w:numPr>
          <w:ilvl w:val="0"/>
          <w:numId w:val="9"/>
        </w:numPr>
        <w:tabs>
          <w:tab w:val="left" w:pos="720"/>
          <w:tab w:val="left" w:pos="900"/>
          <w:tab w:val="left" w:pos="1080"/>
          <w:tab w:val="clear" w:pos="312"/>
        </w:tabs>
        <w:topLinePunct/>
        <w:spacing w:line="460" w:lineRule="exact"/>
        <w:ind w:firstLine="562" w:firstLineChars="200"/>
        <w:jc w:val="left"/>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投标报价及依据</w:t>
      </w:r>
    </w:p>
    <w:p>
      <w:pPr>
        <w:widowControl/>
        <w:spacing w:line="360" w:lineRule="auto"/>
        <w:ind w:firstLine="420"/>
        <w:rPr>
          <w:rFonts w:hint="default" w:ascii="宋体" w:hAnsi="宋体" w:cs="宋体"/>
          <w:b/>
          <w:bCs/>
          <w:color w:val="auto"/>
          <w:kern w:val="0"/>
          <w:sz w:val="28"/>
          <w:szCs w:val="28"/>
          <w:highlight w:val="none"/>
          <w:lang w:val="en-US" w:eastAsia="zh-CN"/>
        </w:rPr>
      </w:pPr>
      <w:r>
        <w:rPr>
          <w:rFonts w:hint="eastAsia" w:ascii="宋体" w:hAnsi="宋体" w:cs="Times New Roman"/>
          <w:b/>
          <w:bCs/>
          <w:color w:val="auto"/>
          <w:sz w:val="28"/>
          <w:szCs w:val="21"/>
          <w:highlight w:val="none"/>
          <w:lang w:val="en-US" w:eastAsia="zh-CN"/>
        </w:rPr>
        <w:t>16.1</w:t>
      </w:r>
      <w:r>
        <w:rPr>
          <w:rFonts w:hint="eastAsia" w:ascii="宋体" w:hAnsi="宋体"/>
          <w:b/>
          <w:bCs/>
          <w:color w:val="auto"/>
          <w:sz w:val="28"/>
          <w:szCs w:val="28"/>
          <w:highlight w:val="none"/>
        </w:rPr>
        <w:t>本项目招标最高控制价</w:t>
      </w:r>
      <w:r>
        <w:rPr>
          <w:rFonts w:hint="eastAsia" w:ascii="宋体" w:hAnsi="宋体"/>
          <w:b/>
          <w:bCs/>
          <w:color w:val="auto"/>
          <w:sz w:val="28"/>
          <w:szCs w:val="28"/>
          <w:highlight w:val="none"/>
          <w:lang w:val="en-US" w:eastAsia="zh-CN"/>
        </w:rPr>
        <w:t>268.48</w:t>
      </w:r>
      <w:r>
        <w:rPr>
          <w:rFonts w:hint="eastAsia" w:ascii="宋体" w:hAnsi="宋体"/>
          <w:b/>
          <w:bCs/>
          <w:color w:val="auto"/>
          <w:sz w:val="28"/>
          <w:szCs w:val="28"/>
          <w:highlight w:val="none"/>
        </w:rPr>
        <w:t>万元，供应商的报价必须在最高控制价以内，</w:t>
      </w:r>
      <w:r>
        <w:rPr>
          <w:rFonts w:hint="eastAsia" w:ascii="宋体" w:hAnsi="宋体" w:cs="宋体"/>
          <w:b/>
          <w:bCs/>
          <w:color w:val="auto"/>
          <w:kern w:val="0"/>
          <w:sz w:val="28"/>
          <w:szCs w:val="28"/>
          <w:highlight w:val="none"/>
          <w:lang w:val="en-US" w:eastAsia="zh-CN"/>
        </w:rPr>
        <w:t>如有分（单）项招标控制价的，也必须在各分（单）项招标控制价以内报价，否则作废标（无效标）处理；</w:t>
      </w:r>
    </w:p>
    <w:p>
      <w:pPr>
        <w:tabs>
          <w:tab w:val="left" w:pos="836"/>
        </w:tabs>
        <w:spacing w:line="500" w:lineRule="exact"/>
        <w:ind w:firstLine="562" w:firstLineChars="200"/>
        <w:rPr>
          <w:rFonts w:hint="eastAsia"/>
          <w:color w:val="auto"/>
          <w:highlight w:val="none"/>
          <w:lang w:eastAsia="zh-CN"/>
        </w:rPr>
      </w:pPr>
      <w:r>
        <w:rPr>
          <w:rFonts w:hint="eastAsia" w:ascii="宋体" w:hAnsi="宋体" w:cs="宋体"/>
          <w:b/>
          <w:bCs/>
          <w:color w:val="auto"/>
          <w:sz w:val="28"/>
          <w:szCs w:val="28"/>
          <w:highlight w:val="none"/>
        </w:rPr>
        <w:t>投标报价包含为完成本项目所需的全部费用，应包括包含施工所涉及到的人工费、材料费、机械费、总承包服务费、验收费、一般检测及特殊检测费、保险费、管理费、利润、措施费、规费、税金，政策性文件的规定以及包括但不限于原材料涨价等合同明示或暗示的所有一切风险、责任和义务等为完成本项目所需的一切费用。</w:t>
      </w:r>
      <w:r>
        <w:rPr>
          <w:rFonts w:hint="eastAsia" w:ascii="宋体" w:hAnsi="宋体" w:cs="宋体"/>
          <w:b/>
          <w:color w:val="auto"/>
          <w:sz w:val="28"/>
          <w:szCs w:val="28"/>
          <w:highlight w:val="none"/>
        </w:rPr>
        <w:t>供应商应充分考虑本项目合同实施期间可能发生的一切费用，并承担由此而带来的风险。</w:t>
      </w:r>
      <w:r>
        <w:rPr>
          <w:rFonts w:hint="eastAsia" w:ascii="宋体" w:hAnsi="宋体"/>
          <w:b/>
          <w:bCs/>
          <w:color w:val="auto"/>
          <w:sz w:val="28"/>
          <w:szCs w:val="28"/>
          <w:highlight w:val="none"/>
        </w:rPr>
        <w:t>所有这些费用应填入投标报价明细表的适宜栏（对主动让利免费的项目要填写零）。竣工结算时工程造价调整原则：如果报价明细表中有缺项，应视为漏报价格已经分摊在其它项目中则： 2、变更部分调整原则，图纸优化及变更增加部分以变更审批单的形式进行调整。3、本次招标投标单位自行考虑主要材料、元器件的物价上涨风险，不因材料价格上涨而调整价格。</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1</w:t>
      </w:r>
      <w:r>
        <w:rPr>
          <w:rFonts w:hint="eastAsia" w:ascii="宋体" w:hAnsi="宋体"/>
          <w:color w:val="auto"/>
          <w:sz w:val="28"/>
          <w:szCs w:val="28"/>
          <w:highlight w:val="none"/>
        </w:rPr>
        <w:t>6.2报价单位应充分了解工程项目</w:t>
      </w:r>
      <w:r>
        <w:rPr>
          <w:rFonts w:hint="eastAsia" w:ascii="宋体" w:hAnsi="宋体"/>
          <w:color w:val="auto"/>
          <w:sz w:val="28"/>
          <w:szCs w:val="28"/>
          <w:highlight w:val="none"/>
          <w:lang w:eastAsia="zh-CN"/>
        </w:rPr>
        <w:t>概况、</w:t>
      </w:r>
      <w:r>
        <w:rPr>
          <w:rFonts w:hint="eastAsia" w:ascii="宋体" w:hAnsi="宋体"/>
          <w:color w:val="auto"/>
          <w:sz w:val="28"/>
          <w:szCs w:val="28"/>
          <w:highlight w:val="none"/>
        </w:rPr>
        <w:t>位置、道路、装卸限制及其他足以影响报价的情况；任何因疏忽或误解工程项目道路等情况而导致的索赔或工期延长申请将不被批准。</w:t>
      </w:r>
    </w:p>
    <w:p>
      <w:pPr>
        <w:spacing w:line="520" w:lineRule="exact"/>
        <w:ind w:firstLine="560" w:firstLineChars="200"/>
        <w:rPr>
          <w:rFonts w:hint="eastAsia" w:ascii="宋体" w:hAnsi="宋体"/>
          <w:strike/>
          <w:dstrike w:val="0"/>
          <w:color w:val="auto"/>
          <w:sz w:val="28"/>
          <w:szCs w:val="28"/>
          <w:highlight w:val="none"/>
        </w:rPr>
      </w:pPr>
      <w:r>
        <w:rPr>
          <w:rFonts w:hint="eastAsia" w:ascii="宋体" w:hAnsi="宋体"/>
          <w:strike w:val="0"/>
          <w:dstrike w:val="0"/>
          <w:color w:val="auto"/>
          <w:sz w:val="28"/>
          <w:szCs w:val="28"/>
          <w:highlight w:val="none"/>
          <w:lang w:val="en-US" w:eastAsia="zh-CN"/>
        </w:rPr>
        <w:t>1</w:t>
      </w:r>
      <w:r>
        <w:rPr>
          <w:rFonts w:hint="eastAsia" w:ascii="宋体" w:hAnsi="宋体"/>
          <w:strike w:val="0"/>
          <w:dstrike w:val="0"/>
          <w:color w:val="auto"/>
          <w:sz w:val="28"/>
          <w:szCs w:val="28"/>
          <w:highlight w:val="none"/>
        </w:rPr>
        <w:t>6.</w:t>
      </w:r>
      <w:r>
        <w:rPr>
          <w:rFonts w:hint="eastAsia" w:ascii="宋体" w:hAnsi="宋体"/>
          <w:strike w:val="0"/>
          <w:dstrike w:val="0"/>
          <w:color w:val="auto"/>
          <w:sz w:val="28"/>
          <w:szCs w:val="28"/>
          <w:highlight w:val="none"/>
          <w:lang w:val="en-US" w:eastAsia="zh-CN"/>
        </w:rPr>
        <w:t>3</w:t>
      </w:r>
      <w:r>
        <w:rPr>
          <w:rFonts w:hint="eastAsia" w:ascii="宋体" w:hAnsi="宋体"/>
          <w:strike w:val="0"/>
          <w:dstrike w:val="0"/>
          <w:color w:val="auto"/>
          <w:sz w:val="28"/>
          <w:szCs w:val="28"/>
          <w:highlight w:val="none"/>
        </w:rPr>
        <w:t>投标人的工程量清单项目的单价与清单项目数量相乘必须等于合价，各合价相加 必须等于总价各部分的合计金额应与其中的各分项之和一致，不允许使用调价函件</w:t>
      </w:r>
      <w:r>
        <w:rPr>
          <w:rFonts w:hint="eastAsia" w:ascii="宋体" w:hAnsi="宋体"/>
          <w:strike w:val="0"/>
          <w:dstrike w:val="0"/>
          <w:color w:val="auto"/>
          <w:sz w:val="28"/>
          <w:szCs w:val="28"/>
          <w:highlight w:val="none"/>
          <w:lang w:eastAsia="zh-CN"/>
        </w:rPr>
        <w:t>，</w:t>
      </w:r>
      <w:r>
        <w:rPr>
          <w:rFonts w:hint="eastAsia" w:ascii="宋体" w:hAnsi="宋体"/>
          <w:strike w:val="0"/>
          <w:dstrike w:val="0"/>
          <w:color w:val="auto"/>
          <w:sz w:val="28"/>
          <w:szCs w:val="28"/>
          <w:highlight w:val="none"/>
        </w:rPr>
        <w:t>否则按照废标处理。</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strike w:val="0"/>
          <w:dstrike w:val="0"/>
          <w:color w:val="auto"/>
          <w:sz w:val="28"/>
          <w:szCs w:val="28"/>
          <w:highlight w:val="none"/>
          <w:lang w:val="en-US" w:eastAsia="zh-CN"/>
        </w:rPr>
      </w:pPr>
      <w:r>
        <w:rPr>
          <w:rFonts w:hint="eastAsia" w:ascii="宋体" w:hAnsi="宋体"/>
          <w:strike w:val="0"/>
          <w:dstrike w:val="0"/>
          <w:color w:val="auto"/>
          <w:sz w:val="28"/>
          <w:szCs w:val="28"/>
          <w:highlight w:val="none"/>
          <w:lang w:val="en-US" w:eastAsia="zh-CN"/>
        </w:rPr>
        <w:t>投标人应严格按照招标单位提供的工程量清单填报单价与合价，每一个项目只允许有一个单价和合价，任何有选择的单价和合价将不予接受；若投标人擅自改变清单序号、项目编码、工程量、清单项目内容特征描述或出现一个项目多个单价或合价、未填单价或合价的工程量清单项目，作废标处理。投标人不得进行投标总价优惠、让利，投标人对投标报价的任何优惠、让利均应体现在清单项目的</w:t>
      </w:r>
      <w:r>
        <w:rPr>
          <w:rFonts w:hint="eastAsia" w:ascii="宋体" w:hAnsi="宋体"/>
          <w:b/>
          <w:bCs/>
          <w:strike w:val="0"/>
          <w:dstrike w:val="0"/>
          <w:color w:val="auto"/>
          <w:sz w:val="28"/>
          <w:szCs w:val="28"/>
          <w:highlight w:val="none"/>
          <w:lang w:val="en-US" w:eastAsia="zh-CN"/>
        </w:rPr>
        <w:t>全费用综合单价中</w:t>
      </w:r>
      <w:r>
        <w:rPr>
          <w:rFonts w:hint="eastAsia" w:ascii="宋体" w:hAnsi="宋体"/>
          <w:strike w:val="0"/>
          <w:dstrike w:val="0"/>
          <w:color w:val="auto"/>
          <w:sz w:val="28"/>
          <w:szCs w:val="28"/>
          <w:highlight w:val="none"/>
          <w:lang w:val="en-US" w:eastAsia="zh-CN"/>
        </w:rPr>
        <w:t>。</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color w:val="auto"/>
          <w:sz w:val="28"/>
          <w:szCs w:val="28"/>
          <w:highlight w:val="none"/>
        </w:rPr>
      </w:pPr>
      <w:bookmarkStart w:id="9" w:name="_Toc534215717"/>
      <w:r>
        <w:rPr>
          <w:rFonts w:hint="eastAsia" w:ascii="宋体" w:hAnsi="宋体"/>
          <w:color w:val="auto"/>
          <w:sz w:val="28"/>
          <w:szCs w:val="28"/>
          <w:highlight w:val="none"/>
          <w:lang w:val="en-US" w:eastAsia="zh-CN"/>
        </w:rPr>
        <w:t>16</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材料供应方式及工期、质量要求及工程款的支付方式</w:t>
      </w:r>
      <w:bookmarkEnd w:id="9"/>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16</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.1 本工程所需的</w:t>
      </w:r>
      <w:r>
        <w:rPr>
          <w:rFonts w:hint="eastAsia" w:ascii="宋体" w:hAnsi="宋体"/>
          <w:color w:val="auto"/>
          <w:sz w:val="28"/>
          <w:szCs w:val="28"/>
          <w:highlight w:val="none"/>
          <w:lang w:eastAsia="zh-CN"/>
        </w:rPr>
        <w:t>各种原材料</w:t>
      </w:r>
      <w:r>
        <w:rPr>
          <w:rFonts w:hint="eastAsia" w:ascii="宋体" w:hAnsi="宋体"/>
          <w:color w:val="auto"/>
          <w:sz w:val="28"/>
          <w:szCs w:val="28"/>
          <w:highlight w:val="none"/>
        </w:rPr>
        <w:t>全部由承包方负责采购，对影响使用功能的部分主要材料，必须按附表要求的技术参数进行采购，承包方在采购材料前7天内</w:t>
      </w:r>
      <w:r>
        <w:rPr>
          <w:rFonts w:hint="eastAsia" w:ascii="宋体" w:hAnsi="宋体"/>
          <w:color w:val="auto"/>
          <w:sz w:val="28"/>
          <w:szCs w:val="28"/>
          <w:highlight w:val="none"/>
          <w:lang w:eastAsia="zh-CN"/>
        </w:rPr>
        <w:t>提供样品，</w:t>
      </w:r>
      <w:r>
        <w:rPr>
          <w:rFonts w:hint="eastAsia" w:ascii="宋体" w:hAnsi="宋体"/>
          <w:color w:val="auto"/>
          <w:sz w:val="28"/>
          <w:szCs w:val="28"/>
          <w:highlight w:val="none"/>
        </w:rPr>
        <w:t>通知发包方</w:t>
      </w:r>
      <w:r>
        <w:rPr>
          <w:rFonts w:hint="eastAsia" w:ascii="宋体" w:hAnsi="宋体"/>
          <w:color w:val="auto"/>
          <w:sz w:val="28"/>
          <w:szCs w:val="28"/>
          <w:highlight w:val="none"/>
          <w:lang w:eastAsia="zh-CN"/>
        </w:rPr>
        <w:t>、</w:t>
      </w:r>
      <w:r>
        <w:rPr>
          <w:rFonts w:hint="eastAsia" w:ascii="宋体" w:hAnsi="宋体"/>
          <w:color w:val="auto"/>
          <w:sz w:val="28"/>
          <w:szCs w:val="28"/>
          <w:highlight w:val="none"/>
        </w:rPr>
        <w:t>经建设单位、施工单位、监理单位、财政评审共同确认后，再行采购。承包方采购的材料，在采购前虽经建设单位、</w:t>
      </w:r>
      <w:r>
        <w:rPr>
          <w:rFonts w:hint="eastAsia" w:ascii="宋体" w:hAnsi="宋体"/>
          <w:color w:val="auto"/>
          <w:sz w:val="28"/>
          <w:szCs w:val="28"/>
          <w:highlight w:val="none"/>
          <w:lang w:eastAsia="zh-CN"/>
        </w:rPr>
        <w:t>总承包</w:t>
      </w:r>
      <w:r>
        <w:rPr>
          <w:rFonts w:hint="eastAsia" w:ascii="宋体" w:hAnsi="宋体"/>
          <w:color w:val="auto"/>
          <w:sz w:val="28"/>
          <w:szCs w:val="28"/>
          <w:highlight w:val="none"/>
        </w:rPr>
        <w:t>单位、监理单位、财政评审进行了确认，但材料质量问题造成的工程质量不合格，其责任仍由承包方承担。未按规定中标人自行采购的材料，一切责任由中标人承担。对于进场材料，建设方进行必要检验，进场材料不符合</w:t>
      </w:r>
      <w:r>
        <w:rPr>
          <w:rFonts w:hint="eastAsia" w:ascii="宋体" w:hAnsi="宋体"/>
          <w:color w:val="auto"/>
          <w:sz w:val="28"/>
          <w:szCs w:val="28"/>
          <w:highlight w:val="none"/>
          <w:lang w:eastAsia="zh-CN"/>
        </w:rPr>
        <w:t>磋商文件</w:t>
      </w:r>
      <w:r>
        <w:rPr>
          <w:rFonts w:hint="eastAsia" w:ascii="宋体" w:hAnsi="宋体"/>
          <w:color w:val="auto"/>
          <w:sz w:val="28"/>
          <w:szCs w:val="28"/>
          <w:highlight w:val="none"/>
        </w:rPr>
        <w:t>中给定的技术参数要求，其责任由承包方承担。</w:t>
      </w:r>
    </w:p>
    <w:p>
      <w:pPr>
        <w:keepNext w:val="0"/>
        <w:keepLines w:val="0"/>
        <w:pageBreakBefore w:val="0"/>
        <w:tabs>
          <w:tab w:val="left" w:pos="720"/>
          <w:tab w:val="left" w:pos="900"/>
          <w:tab w:val="left" w:pos="1080"/>
        </w:tabs>
        <w:kinsoku/>
        <w:wordWrap/>
        <w:overflowPunct/>
        <w:topLinePunct/>
        <w:autoSpaceDE/>
        <w:autoSpaceDN/>
        <w:bidi w:val="0"/>
        <w:snapToGrid/>
        <w:spacing w:line="460" w:lineRule="exact"/>
        <w:ind w:firstLine="560" w:firstLineChars="200"/>
        <w:jc w:val="left"/>
        <w:textAlignment w:val="auto"/>
        <w:rPr>
          <w:rFonts w:hint="eastAsia" w:ascii="宋体" w:hAnsi="宋体"/>
          <w:color w:val="auto"/>
          <w:sz w:val="28"/>
          <w:szCs w:val="28"/>
          <w:highlight w:val="none"/>
        </w:rPr>
      </w:pPr>
      <w:r>
        <w:rPr>
          <w:rFonts w:hint="eastAsia" w:ascii="宋体" w:hAnsi="宋体"/>
          <w:color w:val="auto"/>
          <w:sz w:val="28"/>
          <w:szCs w:val="28"/>
          <w:highlight w:val="none"/>
          <w:lang w:val="en-US" w:eastAsia="zh-CN"/>
        </w:rPr>
        <w:t>16</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.2承包方采购变更工程中新出现的材料，须会同建设单位、施工单位、监理单位、财政评审共同考察或依法招标确认单价。经</w:t>
      </w:r>
      <w:r>
        <w:rPr>
          <w:rFonts w:hint="eastAsia" w:ascii="宋体" w:hAnsi="宋体"/>
          <w:color w:val="auto"/>
          <w:sz w:val="28"/>
          <w:szCs w:val="28"/>
          <w:highlight w:val="none"/>
          <w:lang w:val="en-US" w:eastAsia="zh-CN"/>
        </w:rPr>
        <w:t>四</w:t>
      </w:r>
      <w:r>
        <w:rPr>
          <w:rFonts w:hint="eastAsia" w:ascii="宋体" w:hAnsi="宋体"/>
          <w:color w:val="auto"/>
          <w:sz w:val="28"/>
          <w:szCs w:val="28"/>
          <w:highlight w:val="none"/>
        </w:rPr>
        <w:t>方签字确认，作为变更工程价款结算的依据。否则，结算时材料价格由发包方自行确认，由此造成的责任由承包方自行承担。</w:t>
      </w:r>
    </w:p>
    <w:p>
      <w:pPr>
        <w:spacing w:line="52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16</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.3投标单位在报价过程中，应考虑到施工期内材料价格波动的因素，增强风险防范意识，承担主要材料价格波动造成的风险，保障建筑工程的顺利实施</w:t>
      </w:r>
      <w:r>
        <w:rPr>
          <w:rFonts w:hint="eastAsia" w:ascii="宋体" w:hAnsi="宋体"/>
          <w:color w:val="auto"/>
          <w:sz w:val="28"/>
          <w:szCs w:val="28"/>
          <w:highlight w:val="none"/>
          <w:lang w:eastAsia="zh-CN"/>
        </w:rPr>
        <w:t>，</w:t>
      </w:r>
      <w:r>
        <w:rPr>
          <w:rFonts w:hint="eastAsia" w:ascii="宋体" w:hAnsi="宋体"/>
          <w:b/>
          <w:bCs/>
          <w:color w:val="auto"/>
          <w:sz w:val="28"/>
          <w:szCs w:val="28"/>
          <w:highlight w:val="none"/>
        </w:rPr>
        <w:t>在施工期间材料价格不予调整</w:t>
      </w:r>
      <w:r>
        <w:rPr>
          <w:rFonts w:hint="eastAsia" w:ascii="宋体" w:hAnsi="宋体"/>
          <w:color w:val="auto"/>
          <w:sz w:val="28"/>
          <w:szCs w:val="28"/>
          <w:highlight w:val="none"/>
        </w:rPr>
        <w:t>。</w:t>
      </w:r>
    </w:p>
    <w:p>
      <w:pPr>
        <w:pStyle w:val="2"/>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16</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4</w:t>
      </w:r>
      <w:r>
        <w:rPr>
          <w:rFonts w:hint="eastAsia" w:ascii="宋体" w:hAnsi="宋体"/>
          <w:color w:val="auto"/>
          <w:sz w:val="28"/>
          <w:szCs w:val="28"/>
          <w:highlight w:val="none"/>
        </w:rPr>
        <w:t>因工程材料规格、型号等导致的变更，结算时只计取两种材料的价差及其税金。如遇原投标报价异常时，被调整的原材料采用投标时市场价格，新增材料价格由建设单位、财政评审单位、监理单位、施工单位共同确认。</w:t>
      </w:r>
    </w:p>
    <w:p>
      <w:pPr>
        <w:pStyle w:val="2"/>
        <w:ind w:firstLine="560" w:firstLineChars="200"/>
        <w:rPr>
          <w:rFonts w:hint="eastAsia" w:ascii="宋体" w:hAnsi="宋体" w:eastAsia="宋体" w:cs="宋体"/>
          <w:b w:val="0"/>
          <w:bCs w:val="0"/>
          <w:i w:val="0"/>
          <w:iCs w:val="0"/>
          <w:color w:val="auto"/>
          <w:kern w:val="0"/>
          <w:sz w:val="28"/>
          <w:szCs w:val="28"/>
          <w:highlight w:val="none"/>
          <w:u w:val="none"/>
          <w:lang w:val="en-US" w:eastAsia="zh-CN" w:bidi="ar"/>
        </w:rPr>
      </w:pPr>
      <w:r>
        <w:rPr>
          <w:rFonts w:hint="eastAsia" w:ascii="宋体" w:hAnsi="宋体"/>
          <w:color w:val="auto"/>
          <w:sz w:val="28"/>
          <w:szCs w:val="28"/>
          <w:highlight w:val="none"/>
          <w:lang w:val="en-US" w:eastAsia="zh-CN"/>
        </w:rPr>
        <w:t>16.6</w:t>
      </w:r>
      <w:r>
        <w:rPr>
          <w:rFonts w:hint="eastAsia" w:ascii="宋体" w:hAnsi="宋体" w:eastAsia="宋体" w:cs="宋体"/>
          <w:b w:val="0"/>
          <w:bCs w:val="0"/>
          <w:i w:val="0"/>
          <w:iCs w:val="0"/>
          <w:color w:val="auto"/>
          <w:kern w:val="0"/>
          <w:sz w:val="28"/>
          <w:szCs w:val="28"/>
          <w:highlight w:val="none"/>
          <w:u w:val="none"/>
          <w:lang w:val="en-US" w:eastAsia="zh-CN" w:bidi="ar"/>
        </w:rPr>
        <w:t>水电费由承包方现场挂表缴费，水电费价格执行建设单位缴纳向有关单位缴纳自来水、事业单位用电电费计量定期缴纳。</w:t>
      </w:r>
    </w:p>
    <w:p>
      <w:pPr>
        <w:rPr>
          <w:rFonts w:hint="default"/>
          <w:b w:val="0"/>
          <w:bCs w:val="0"/>
          <w:color w:val="auto"/>
          <w:highlight w:val="none"/>
          <w:lang w:val="en-US"/>
        </w:rPr>
      </w:pPr>
      <w:r>
        <w:rPr>
          <w:rFonts w:hint="eastAsia" w:ascii="宋体" w:hAnsi="宋体" w:cs="宋体"/>
          <w:b w:val="0"/>
          <w:bCs w:val="0"/>
          <w:i w:val="0"/>
          <w:iCs w:val="0"/>
          <w:color w:val="auto"/>
          <w:kern w:val="0"/>
          <w:sz w:val="28"/>
          <w:szCs w:val="28"/>
          <w:highlight w:val="none"/>
          <w:u w:val="none"/>
          <w:lang w:val="en-US" w:eastAsia="zh-CN" w:bidi="ar"/>
        </w:rPr>
        <w:t xml:space="preserve">    16.7施工期间，外墙保温必须严格按有关法律、法规及地方性规定施工，服从总包单位管理，为施工操作人员购买人身意外伤害险，施工机械使用、租赁有资质的租赁单位出租的正规生产厂家的施工机械，安装后经由资质的单位检测合格后方可使用。因外墙保温施工单位管理不善造成的一切后果由分包单位负责。</w:t>
      </w:r>
    </w:p>
    <w:p>
      <w:pPr>
        <w:tabs>
          <w:tab w:val="left" w:pos="720"/>
          <w:tab w:val="left" w:pos="900"/>
          <w:tab w:val="left" w:pos="1080"/>
        </w:tabs>
        <w:topLinePunct/>
        <w:spacing w:line="460" w:lineRule="exact"/>
        <w:ind w:firstLine="560" w:firstLineChars="200"/>
        <w:jc w:val="left"/>
        <w:rPr>
          <w:rFonts w:ascii="宋体" w:hAnsi="宋体"/>
          <w:b w:val="0"/>
          <w:bCs w:val="0"/>
          <w:color w:val="auto"/>
          <w:sz w:val="28"/>
          <w:szCs w:val="28"/>
          <w:highlight w:val="none"/>
        </w:rPr>
      </w:pPr>
      <w:r>
        <w:rPr>
          <w:rFonts w:hint="eastAsia" w:ascii="宋体" w:hAnsi="宋体"/>
          <w:b w:val="0"/>
          <w:bCs w:val="0"/>
          <w:color w:val="auto"/>
          <w:sz w:val="28"/>
          <w:szCs w:val="28"/>
          <w:highlight w:val="none"/>
        </w:rPr>
        <w:t>17.响应文件格式</w:t>
      </w:r>
    </w:p>
    <w:p>
      <w:pPr>
        <w:tabs>
          <w:tab w:val="left" w:pos="720"/>
          <w:tab w:val="left" w:pos="900"/>
          <w:tab w:val="left" w:pos="1080"/>
        </w:tabs>
        <w:topLinePunct/>
        <w:spacing w:line="46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17.1响应文件包括本须知第15条中规定的内容，供应商递交的响应文件应当使用磋商文件所提供的格式，可以相同格式扩展。未提供参考格式的，供应商自行设计表格及编写相关内容。</w:t>
      </w:r>
    </w:p>
    <w:p>
      <w:pPr>
        <w:tabs>
          <w:tab w:val="left" w:pos="720"/>
          <w:tab w:val="left" w:pos="900"/>
          <w:tab w:val="left" w:pos="1080"/>
        </w:tabs>
        <w:topLinePunct/>
        <w:spacing w:line="46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17.2供应商应按照规定的格式编制、装订响应文件（技术标书和商务标书装订在一起）。响应文件分包制作，页码应连续，不可插页、抽页，不可分册，不可活页装订，牢固胶装成册。</w:t>
      </w:r>
    </w:p>
    <w:p>
      <w:pPr>
        <w:topLinePunct/>
        <w:spacing w:line="460" w:lineRule="exact"/>
        <w:ind w:firstLine="281" w:firstLineChars="100"/>
        <w:rPr>
          <w:rFonts w:ascii="宋体" w:hAnsi="宋体"/>
          <w:b/>
          <w:color w:val="auto"/>
          <w:sz w:val="28"/>
          <w:szCs w:val="28"/>
          <w:highlight w:val="none"/>
        </w:rPr>
      </w:pPr>
      <w:r>
        <w:rPr>
          <w:rFonts w:hint="eastAsia" w:ascii="宋体" w:hAnsi="宋体"/>
          <w:b/>
          <w:color w:val="auto"/>
          <w:sz w:val="28"/>
          <w:szCs w:val="28"/>
          <w:highlight w:val="none"/>
        </w:rPr>
        <w:t>18.磋商说明</w:t>
      </w:r>
    </w:p>
    <w:p>
      <w:pPr>
        <w:tabs>
          <w:tab w:val="left" w:pos="360"/>
          <w:tab w:val="left" w:pos="420"/>
          <w:tab w:val="left" w:pos="720"/>
        </w:tabs>
        <w:topLinePunct/>
        <w:spacing w:line="440" w:lineRule="exact"/>
        <w:ind w:left="1" w:firstLine="560" w:firstLineChars="200"/>
        <w:jc w:val="left"/>
        <w:rPr>
          <w:rFonts w:ascii="宋体" w:hAnsi="宋体"/>
          <w:color w:val="auto"/>
          <w:sz w:val="28"/>
          <w:szCs w:val="21"/>
          <w:highlight w:val="none"/>
        </w:rPr>
      </w:pPr>
      <w:r>
        <w:rPr>
          <w:rFonts w:hint="eastAsia" w:ascii="宋体" w:hAnsi="宋体"/>
          <w:color w:val="auto"/>
          <w:sz w:val="28"/>
          <w:szCs w:val="21"/>
          <w:highlight w:val="none"/>
        </w:rPr>
        <w:t>18.1</w:t>
      </w:r>
      <w:r>
        <w:rPr>
          <w:rFonts w:ascii="宋体" w:hAnsi="宋体"/>
          <w:color w:val="auto"/>
          <w:sz w:val="28"/>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tabs>
          <w:tab w:val="left" w:pos="360"/>
          <w:tab w:val="left" w:pos="420"/>
          <w:tab w:val="left" w:pos="720"/>
        </w:tabs>
        <w:topLinePunct/>
        <w:spacing w:line="440" w:lineRule="exact"/>
        <w:ind w:left="1" w:firstLine="560" w:firstLineChars="200"/>
        <w:jc w:val="left"/>
        <w:rPr>
          <w:rFonts w:ascii="宋体" w:hAnsi="宋体"/>
          <w:color w:val="auto"/>
          <w:sz w:val="28"/>
          <w:szCs w:val="21"/>
          <w:highlight w:val="none"/>
        </w:rPr>
      </w:pPr>
      <w:r>
        <w:rPr>
          <w:rFonts w:hint="eastAsia" w:ascii="宋体" w:hAnsi="宋体"/>
          <w:color w:val="auto"/>
          <w:sz w:val="28"/>
          <w:szCs w:val="21"/>
          <w:highlight w:val="none"/>
        </w:rPr>
        <w:t>18.2</w:t>
      </w:r>
      <w:r>
        <w:rPr>
          <w:rFonts w:ascii="宋体" w:hAnsi="宋体"/>
          <w:color w:val="auto"/>
          <w:sz w:val="28"/>
          <w:szCs w:val="21"/>
          <w:highlight w:val="none"/>
        </w:rPr>
        <w:t>对磋商文件作出的实质性变动是磋商文件的有效组成部分，磋商小组应当及时以书面形式同时通知所有参加磋商的供应商。本项目无实质性变动的内容。</w:t>
      </w:r>
    </w:p>
    <w:p>
      <w:pPr>
        <w:tabs>
          <w:tab w:val="left" w:pos="360"/>
          <w:tab w:val="left" w:pos="420"/>
          <w:tab w:val="left" w:pos="720"/>
        </w:tabs>
        <w:topLinePunct/>
        <w:spacing w:line="440" w:lineRule="exact"/>
        <w:ind w:left="1" w:firstLine="560" w:firstLineChars="200"/>
        <w:jc w:val="left"/>
        <w:rPr>
          <w:rFonts w:ascii="宋体" w:hAnsi="宋体"/>
          <w:color w:val="auto"/>
          <w:sz w:val="28"/>
          <w:szCs w:val="21"/>
          <w:highlight w:val="none"/>
        </w:rPr>
      </w:pPr>
      <w:r>
        <w:rPr>
          <w:rFonts w:hint="eastAsia" w:ascii="宋体" w:hAnsi="宋体"/>
          <w:color w:val="auto"/>
          <w:sz w:val="28"/>
          <w:szCs w:val="21"/>
          <w:highlight w:val="none"/>
        </w:rPr>
        <w:t>18.3</w:t>
      </w:r>
      <w:r>
        <w:rPr>
          <w:rFonts w:ascii="宋体" w:hAnsi="宋体"/>
          <w:color w:val="auto"/>
          <w:sz w:val="28"/>
          <w:szCs w:val="21"/>
          <w:highlight w:val="none"/>
        </w:rPr>
        <w:t>供应商应当按照磋商文件的变动情况和磋商小组的要求重新提交响应文件，并由其法定代表人或授权代理人签字或者加盖公章。由授权代理人签字的，应当附法定代表人授权委托书。</w:t>
      </w:r>
    </w:p>
    <w:p>
      <w:pPr>
        <w:tabs>
          <w:tab w:val="left" w:pos="360"/>
          <w:tab w:val="left" w:pos="420"/>
          <w:tab w:val="left" w:pos="720"/>
        </w:tabs>
        <w:topLinePunct/>
        <w:spacing w:line="440" w:lineRule="exact"/>
        <w:ind w:left="1" w:firstLine="560" w:firstLineChars="200"/>
        <w:jc w:val="left"/>
        <w:rPr>
          <w:rFonts w:ascii="宋体" w:hAnsi="宋体"/>
          <w:color w:val="auto"/>
          <w:sz w:val="28"/>
          <w:szCs w:val="21"/>
          <w:highlight w:val="none"/>
        </w:rPr>
      </w:pPr>
      <w:r>
        <w:rPr>
          <w:rFonts w:hint="eastAsia" w:ascii="宋体" w:hAnsi="宋体"/>
          <w:color w:val="auto"/>
          <w:sz w:val="28"/>
          <w:szCs w:val="21"/>
          <w:highlight w:val="none"/>
        </w:rPr>
        <w:t>18.4</w:t>
      </w:r>
      <w:r>
        <w:rPr>
          <w:rFonts w:ascii="宋体" w:hAnsi="宋体"/>
          <w:color w:val="auto"/>
          <w:sz w:val="28"/>
          <w:szCs w:val="21"/>
          <w:highlight w:val="none"/>
        </w:rPr>
        <w:t>磋商文件能够详细列明采购标的的技术、服务要求的，磋商结束后，磋商小组应当要求所有实质性响应的供应商在规定时间内提交最后报价，提交最后报价的供应商不得少于3 家。</w:t>
      </w:r>
    </w:p>
    <w:p>
      <w:pPr>
        <w:tabs>
          <w:tab w:val="left" w:pos="360"/>
          <w:tab w:val="left" w:pos="420"/>
          <w:tab w:val="left" w:pos="720"/>
        </w:tabs>
        <w:topLinePunct/>
        <w:spacing w:line="440" w:lineRule="exact"/>
        <w:ind w:left="1" w:firstLine="560" w:firstLineChars="200"/>
        <w:jc w:val="left"/>
        <w:rPr>
          <w:rFonts w:ascii="宋体" w:hAnsi="宋体"/>
          <w:color w:val="auto"/>
          <w:sz w:val="28"/>
          <w:szCs w:val="21"/>
          <w:highlight w:val="none"/>
        </w:rPr>
      </w:pPr>
      <w:r>
        <w:rPr>
          <w:rFonts w:hint="eastAsia" w:ascii="宋体" w:hAnsi="宋体"/>
          <w:color w:val="auto"/>
          <w:sz w:val="28"/>
          <w:szCs w:val="21"/>
          <w:highlight w:val="none"/>
        </w:rPr>
        <w:t>18.5</w:t>
      </w:r>
      <w:r>
        <w:rPr>
          <w:rFonts w:ascii="宋体" w:hAnsi="宋体"/>
          <w:color w:val="auto"/>
          <w:sz w:val="28"/>
          <w:szCs w:val="21"/>
          <w:highlight w:val="none"/>
        </w:rPr>
        <w:t>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pPr>
        <w:tabs>
          <w:tab w:val="left" w:pos="360"/>
          <w:tab w:val="left" w:pos="420"/>
          <w:tab w:val="left" w:pos="720"/>
        </w:tabs>
        <w:topLinePunct/>
        <w:spacing w:line="440" w:lineRule="exact"/>
        <w:ind w:left="1" w:firstLine="560" w:firstLineChars="200"/>
        <w:jc w:val="left"/>
        <w:rPr>
          <w:rFonts w:ascii="宋体" w:hAnsi="宋体"/>
          <w:color w:val="auto"/>
          <w:sz w:val="28"/>
          <w:szCs w:val="21"/>
          <w:highlight w:val="none"/>
        </w:rPr>
      </w:pPr>
      <w:r>
        <w:rPr>
          <w:rFonts w:hint="eastAsia" w:ascii="宋体" w:hAnsi="宋体"/>
          <w:color w:val="auto"/>
          <w:sz w:val="28"/>
          <w:szCs w:val="21"/>
          <w:highlight w:val="none"/>
        </w:rPr>
        <w:t>18.6</w:t>
      </w:r>
      <w:r>
        <w:rPr>
          <w:rFonts w:ascii="宋体" w:hAnsi="宋体"/>
          <w:color w:val="auto"/>
          <w:sz w:val="28"/>
          <w:szCs w:val="21"/>
          <w:highlight w:val="none"/>
        </w:rPr>
        <w:t>最后报价是供应商响应文件的有效组成部分。经磋商确定最终采购需求和提交最后报价的供应商后，由磋商小组采用综合评分法对提交最后报价的供应商的响应文件和最后报价进行综合评分。</w:t>
      </w:r>
    </w:p>
    <w:p>
      <w:pPr>
        <w:topLinePunct/>
        <w:spacing w:line="460" w:lineRule="exact"/>
        <w:rPr>
          <w:rFonts w:ascii="宋体" w:hAnsi="宋体"/>
          <w:b/>
          <w:color w:val="auto"/>
          <w:sz w:val="28"/>
          <w:szCs w:val="28"/>
          <w:highlight w:val="none"/>
        </w:rPr>
      </w:pPr>
      <w:r>
        <w:rPr>
          <w:rFonts w:hint="eastAsia" w:ascii="宋体" w:hAnsi="宋体"/>
          <w:b/>
          <w:color w:val="auto"/>
          <w:sz w:val="28"/>
          <w:szCs w:val="28"/>
          <w:highlight w:val="none"/>
        </w:rPr>
        <w:t>19.响应文件份数和签署</w:t>
      </w:r>
    </w:p>
    <w:p>
      <w:pPr>
        <w:tabs>
          <w:tab w:val="left" w:pos="720"/>
        </w:tabs>
        <w:topLinePunct/>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19.1供应商应按照本须知第15款的要求，准备一式三份响应文件（一份正本、两份副本），每份响应文件须清楚地标明“正本”或“副本”字样。一旦正本和副本不符，以正本为准。</w:t>
      </w:r>
    </w:p>
    <w:p>
      <w:pPr>
        <w:topLinePunct/>
        <w:spacing w:line="460" w:lineRule="exact"/>
        <w:ind w:firstLine="560" w:firstLineChars="200"/>
        <w:rPr>
          <w:rFonts w:ascii="宋体" w:hAnsi="宋体"/>
          <w:color w:val="auto"/>
          <w:sz w:val="28"/>
          <w:szCs w:val="28"/>
          <w:highlight w:val="none"/>
          <w:u w:val="double"/>
        </w:rPr>
      </w:pPr>
      <w:r>
        <w:rPr>
          <w:rFonts w:hint="eastAsia" w:ascii="宋体" w:hAnsi="宋体"/>
          <w:color w:val="auto"/>
          <w:sz w:val="28"/>
          <w:szCs w:val="28"/>
          <w:highlight w:val="none"/>
        </w:rPr>
        <w:t>19.2</w:t>
      </w:r>
      <w:r>
        <w:rPr>
          <w:rFonts w:hint="eastAsia" w:ascii="宋体" w:hAnsi="宋体"/>
          <w:b/>
          <w:color w:val="auto"/>
          <w:sz w:val="28"/>
          <w:szCs w:val="28"/>
          <w:highlight w:val="none"/>
          <w:u w:val="double"/>
        </w:rPr>
        <w:t>响应文件的正本和所有的副本均需打印或复印，在磋商文件要求签字的地方均由供应商法定代表人或其授权代表签字。在磋商文件要求盖章的地方应由供应商加盖公章。</w:t>
      </w:r>
    </w:p>
    <w:p>
      <w:pPr>
        <w:topLinePunct/>
        <w:spacing w:line="460" w:lineRule="exact"/>
        <w:ind w:firstLine="560" w:firstLineChars="200"/>
        <w:rPr>
          <w:color w:val="auto"/>
          <w:sz w:val="22"/>
          <w:szCs w:val="21"/>
          <w:highlight w:val="none"/>
        </w:rPr>
      </w:pPr>
      <w:r>
        <w:rPr>
          <w:rFonts w:hint="eastAsia" w:ascii="宋体" w:hAnsi="宋体"/>
          <w:color w:val="auto"/>
          <w:sz w:val="28"/>
          <w:szCs w:val="28"/>
          <w:highlight w:val="none"/>
        </w:rPr>
        <w:t>19.3除供应商对错处做必要修改外，响应文件不得行间插字、涂改或增删，如有修改错漏处，必须由响应文件签署人签字及盖章。</w:t>
      </w:r>
    </w:p>
    <w:p>
      <w:pPr>
        <w:pStyle w:val="13"/>
        <w:spacing w:line="460" w:lineRule="exact"/>
        <w:rPr>
          <w:rFonts w:ascii="宋体" w:hAnsi="宋体"/>
          <w:color w:val="auto"/>
          <w:highlight w:val="none"/>
        </w:rPr>
      </w:pPr>
      <w:bookmarkStart w:id="10" w:name="_Toc486672742"/>
      <w:bookmarkStart w:id="11" w:name="_Toc486672594"/>
      <w:bookmarkStart w:id="12" w:name="_Toc1641"/>
      <w:bookmarkStart w:id="13" w:name="_Toc23750"/>
      <w:bookmarkStart w:id="14" w:name="_Toc27693"/>
      <w:r>
        <w:rPr>
          <w:rFonts w:hint="eastAsia" w:ascii="宋体" w:hAnsi="宋体"/>
          <w:color w:val="auto"/>
          <w:highlight w:val="none"/>
        </w:rPr>
        <w:t>四、响应文件的递交</w:t>
      </w:r>
      <w:bookmarkEnd w:id="10"/>
      <w:bookmarkEnd w:id="11"/>
      <w:bookmarkEnd w:id="12"/>
      <w:bookmarkEnd w:id="13"/>
      <w:bookmarkEnd w:id="14"/>
    </w:p>
    <w:p>
      <w:pPr>
        <w:rPr>
          <w:rFonts w:ascii="宋体" w:hAnsi="宋体"/>
          <w:color w:val="auto"/>
          <w:sz w:val="24"/>
          <w:szCs w:val="52"/>
          <w:highlight w:val="none"/>
        </w:rPr>
      </w:pPr>
    </w:p>
    <w:p>
      <w:pPr>
        <w:topLinePunct/>
        <w:spacing w:line="460" w:lineRule="exact"/>
        <w:rPr>
          <w:rFonts w:ascii="宋体" w:hAnsi="宋体"/>
          <w:b/>
          <w:color w:val="auto"/>
          <w:sz w:val="28"/>
          <w:szCs w:val="28"/>
          <w:highlight w:val="none"/>
        </w:rPr>
      </w:pPr>
      <w:r>
        <w:rPr>
          <w:rFonts w:hint="eastAsia" w:ascii="宋体" w:hAnsi="宋体"/>
          <w:b/>
          <w:color w:val="auto"/>
          <w:sz w:val="28"/>
          <w:szCs w:val="28"/>
          <w:highlight w:val="none"/>
        </w:rPr>
        <w:t>20.响应文件的密封和标记（格式见附件）</w:t>
      </w:r>
    </w:p>
    <w:p>
      <w:pPr>
        <w:tabs>
          <w:tab w:val="left" w:pos="720"/>
        </w:tabs>
        <w:topLinePunct/>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20.1</w:t>
      </w:r>
      <w:r>
        <w:rPr>
          <w:rFonts w:hint="eastAsia" w:ascii="宋体" w:hAnsi="宋体"/>
          <w:b/>
          <w:color w:val="auto"/>
          <w:sz w:val="28"/>
          <w:szCs w:val="28"/>
          <w:highlight w:val="none"/>
          <w:u w:val="double"/>
        </w:rPr>
        <w:t>供应商应将响应文件正本和所有副本用密封袋密封，并在封口启封处加盖供应商单位公章及法定代表人/授权代表签署。</w:t>
      </w:r>
    </w:p>
    <w:p>
      <w:pPr>
        <w:topLinePunct/>
        <w:spacing w:line="4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20.2密封袋上应注明采购项目名称、项目编号及“请勿在   年   月  日    之前启封”的字样。</w:t>
      </w:r>
    </w:p>
    <w:p>
      <w:pPr>
        <w:topLinePunct/>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20.3密封袋上除写明本须知第19.2）款所要求的识别字样外，还应写明供应商名称、地址、电话和邮政编码，以便本须知第23条情况发生时，采购代理机构可按密封袋上标明的供应商地址将响应文件原封退回。</w:t>
      </w:r>
    </w:p>
    <w:p>
      <w:pPr>
        <w:topLinePunct/>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20.4如果响应文件未按本须知第19.1）款、19.2）款要求装订和加写标记及密封，采购代理机构将有权拒收响应文件并对误投或过早启封概不负责。对由此造成提前开封的响应文件，采购代理机构有权予以拒绝，并退回供应商。</w:t>
      </w:r>
    </w:p>
    <w:p>
      <w:pPr>
        <w:topLinePunct/>
        <w:spacing w:line="460" w:lineRule="exact"/>
        <w:rPr>
          <w:rFonts w:ascii="宋体" w:hAnsi="宋体"/>
          <w:b/>
          <w:color w:val="auto"/>
          <w:sz w:val="28"/>
          <w:szCs w:val="28"/>
          <w:highlight w:val="none"/>
        </w:rPr>
      </w:pPr>
      <w:r>
        <w:rPr>
          <w:rFonts w:hint="eastAsia" w:ascii="宋体" w:hAnsi="宋体"/>
          <w:b/>
          <w:color w:val="auto"/>
          <w:sz w:val="28"/>
          <w:szCs w:val="28"/>
          <w:highlight w:val="none"/>
        </w:rPr>
        <w:t>21.响应文件的提交</w:t>
      </w:r>
    </w:p>
    <w:p>
      <w:pPr>
        <w:topLinePunct/>
        <w:spacing w:line="460" w:lineRule="exact"/>
        <w:ind w:firstLine="562" w:firstLineChars="200"/>
        <w:rPr>
          <w:rFonts w:ascii="宋体" w:hAnsi="宋体"/>
          <w:b/>
          <w:bCs/>
          <w:color w:val="auto"/>
          <w:sz w:val="28"/>
          <w:szCs w:val="21"/>
          <w:highlight w:val="none"/>
        </w:rPr>
      </w:pPr>
      <w:r>
        <w:rPr>
          <w:rFonts w:hint="eastAsia" w:ascii="宋体" w:hAnsi="宋体"/>
          <w:b/>
          <w:bCs/>
          <w:color w:val="auto"/>
          <w:sz w:val="28"/>
          <w:szCs w:val="28"/>
          <w:highlight w:val="none"/>
        </w:rPr>
        <w:t>21.1供应商应按磋商文件第一章《竞争性磋商公告》中规定的地点，于报价截止时间前递交响应文件。（</w:t>
      </w:r>
      <w:r>
        <w:rPr>
          <w:rFonts w:hint="eastAsia" w:ascii="宋体" w:hAnsi="宋体"/>
          <w:b/>
          <w:bCs/>
          <w:color w:val="auto"/>
          <w:sz w:val="28"/>
          <w:szCs w:val="21"/>
          <w:highlight w:val="none"/>
        </w:rPr>
        <w:t>方式：法人亲自提交响应文件的应提供</w:t>
      </w:r>
      <w:r>
        <w:rPr>
          <w:rFonts w:hint="eastAsia" w:ascii="宋体" w:hAnsi="宋体"/>
          <w:b/>
          <w:bCs/>
          <w:color w:val="auto"/>
          <w:sz w:val="28"/>
          <w:szCs w:val="21"/>
          <w:highlight w:val="none"/>
          <w:u w:val="single"/>
        </w:rPr>
        <w:t>法人证明书原件、身份证原件</w:t>
      </w:r>
      <w:r>
        <w:rPr>
          <w:rFonts w:hint="eastAsia" w:ascii="宋体" w:hAnsi="宋体"/>
          <w:b/>
          <w:bCs/>
          <w:color w:val="auto"/>
          <w:sz w:val="28"/>
          <w:szCs w:val="21"/>
          <w:highlight w:val="none"/>
        </w:rPr>
        <w:t>，或者委托代理人提交响应文件的应持</w:t>
      </w:r>
      <w:r>
        <w:rPr>
          <w:rFonts w:hint="eastAsia" w:ascii="宋体" w:hAnsi="宋体"/>
          <w:b/>
          <w:bCs/>
          <w:color w:val="auto"/>
          <w:sz w:val="28"/>
          <w:szCs w:val="21"/>
          <w:highlight w:val="none"/>
          <w:u w:val="single"/>
        </w:rPr>
        <w:t>授权委托书原件、身份证原件</w:t>
      </w:r>
      <w:r>
        <w:rPr>
          <w:rFonts w:hint="eastAsia" w:ascii="宋体" w:hAnsi="宋体"/>
          <w:b/>
          <w:bCs/>
          <w:color w:val="auto"/>
          <w:sz w:val="28"/>
          <w:szCs w:val="21"/>
          <w:highlight w:val="none"/>
        </w:rPr>
        <w:t>。否则不接受。）</w:t>
      </w:r>
    </w:p>
    <w:p>
      <w:pPr>
        <w:tabs>
          <w:tab w:val="left" w:pos="420"/>
          <w:tab w:val="left" w:pos="720"/>
        </w:tabs>
        <w:topLinePunct/>
        <w:spacing w:line="460" w:lineRule="exact"/>
        <w:ind w:left="1" w:firstLine="420" w:firstLineChars="150"/>
        <w:rPr>
          <w:rFonts w:ascii="宋体" w:hAnsi="宋体"/>
          <w:color w:val="auto"/>
          <w:sz w:val="28"/>
          <w:szCs w:val="21"/>
          <w:highlight w:val="none"/>
        </w:rPr>
      </w:pPr>
      <w:r>
        <w:rPr>
          <w:rFonts w:hint="eastAsia" w:ascii="宋体" w:hAnsi="宋体"/>
          <w:color w:val="auto"/>
          <w:sz w:val="28"/>
          <w:szCs w:val="21"/>
          <w:highlight w:val="none"/>
        </w:rPr>
        <w:t>21.2供应商代表必须在报价截止时间前将响应文件送达指定地点。如因磋商文件的修改推迟报价截止日期的，则按代理机构通知的规定时间递交。</w:t>
      </w:r>
    </w:p>
    <w:p>
      <w:pPr>
        <w:spacing w:line="460" w:lineRule="exact"/>
        <w:rPr>
          <w:rFonts w:ascii="宋体" w:hAnsi="宋体"/>
          <w:color w:val="auto"/>
          <w:sz w:val="28"/>
          <w:szCs w:val="21"/>
          <w:highlight w:val="none"/>
        </w:rPr>
      </w:pPr>
      <w:r>
        <w:rPr>
          <w:rFonts w:hint="eastAsia" w:ascii="宋体" w:hAnsi="宋体"/>
          <w:color w:val="auto"/>
          <w:sz w:val="28"/>
          <w:szCs w:val="21"/>
          <w:highlight w:val="none"/>
        </w:rPr>
        <w:t>21.3不接受电子邮件、快递等形式的报价。</w:t>
      </w:r>
    </w:p>
    <w:p>
      <w:pPr>
        <w:topLinePunct/>
        <w:spacing w:line="460" w:lineRule="exact"/>
        <w:rPr>
          <w:rFonts w:ascii="宋体" w:hAnsi="宋体"/>
          <w:b/>
          <w:color w:val="auto"/>
          <w:sz w:val="28"/>
          <w:szCs w:val="28"/>
          <w:highlight w:val="none"/>
        </w:rPr>
      </w:pPr>
      <w:r>
        <w:rPr>
          <w:rFonts w:hint="eastAsia" w:ascii="宋体" w:hAnsi="宋体"/>
          <w:b/>
          <w:color w:val="auto"/>
          <w:sz w:val="28"/>
          <w:szCs w:val="28"/>
          <w:highlight w:val="none"/>
        </w:rPr>
        <w:t>22.投标截止时间</w:t>
      </w:r>
    </w:p>
    <w:p>
      <w:pPr>
        <w:tabs>
          <w:tab w:val="left" w:pos="720"/>
        </w:tabs>
        <w:topLinePunct/>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22.1投标截止时间见磋商文件第一章《竞争性磋商公告》。</w:t>
      </w:r>
    </w:p>
    <w:p>
      <w:pPr>
        <w:topLinePunct/>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22.2采购代理机构可以按须知第10条规定，通过修改磋商文件自行决定酌情延长投标截止时间。在此情况下，磋商文件购买者和供应商的所有权利和义务以及供应商受制约的投标截止时间均应以延长后新的投标截止时间为准。</w:t>
      </w:r>
    </w:p>
    <w:p>
      <w:pPr>
        <w:topLinePunct/>
        <w:spacing w:line="460" w:lineRule="exact"/>
        <w:rPr>
          <w:rFonts w:ascii="宋体" w:hAnsi="宋体"/>
          <w:b/>
          <w:color w:val="auto"/>
          <w:sz w:val="28"/>
          <w:szCs w:val="28"/>
          <w:highlight w:val="none"/>
        </w:rPr>
      </w:pPr>
      <w:r>
        <w:rPr>
          <w:rFonts w:hint="eastAsia" w:ascii="宋体" w:hAnsi="宋体"/>
          <w:b/>
          <w:color w:val="auto"/>
          <w:sz w:val="28"/>
          <w:szCs w:val="28"/>
          <w:highlight w:val="none"/>
        </w:rPr>
        <w:t>23.迟交的响应文件</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采购代理机构将拒绝并原封退回在其规定的报价截止时间后收到的任何响应文件。</w:t>
      </w:r>
    </w:p>
    <w:p>
      <w:pPr>
        <w:topLinePunct/>
        <w:spacing w:line="460" w:lineRule="exact"/>
        <w:rPr>
          <w:rFonts w:ascii="宋体" w:hAnsi="宋体"/>
          <w:b/>
          <w:color w:val="auto"/>
          <w:sz w:val="28"/>
          <w:szCs w:val="28"/>
          <w:highlight w:val="none"/>
        </w:rPr>
      </w:pPr>
      <w:r>
        <w:rPr>
          <w:rFonts w:hint="eastAsia" w:ascii="宋体" w:hAnsi="宋体"/>
          <w:b/>
          <w:color w:val="auto"/>
          <w:sz w:val="28"/>
          <w:szCs w:val="28"/>
          <w:highlight w:val="none"/>
        </w:rPr>
        <w:t>24.响应文件的补充、修改和撤回</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24.1供应商在递交响应文件后，在规定的报价截止时间前，可以以书面形式补充修改或撤回已提交的响应文件，并以书面形式通知采购代理机构，修改或撤回其响应文件。补充、修改的内容为其响应文件的组成部分。</w:t>
      </w:r>
    </w:p>
    <w:p>
      <w:pPr>
        <w:spacing w:line="44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24.2供应商对响应文件的补充、修改，应按本须知规定进行编制和签署，并按本须知第20条的规定进行密封、标记，同时还应在封套上加注“修改”字样。修改文件同样必须在磋商截止时间前送达采购代理机构。</w:t>
      </w:r>
    </w:p>
    <w:p>
      <w:pPr>
        <w:spacing w:line="440" w:lineRule="exact"/>
        <w:ind w:firstLine="560" w:firstLineChars="200"/>
        <w:rPr>
          <w:rFonts w:ascii="宋体" w:hAnsi="宋体" w:cs="宋体"/>
          <w:color w:val="auto"/>
          <w:sz w:val="28"/>
          <w:szCs w:val="21"/>
          <w:highlight w:val="none"/>
        </w:rPr>
      </w:pPr>
      <w:r>
        <w:rPr>
          <w:rFonts w:hint="eastAsia" w:ascii="宋体" w:hAnsi="宋体"/>
          <w:color w:val="auto"/>
          <w:sz w:val="28"/>
          <w:szCs w:val="21"/>
          <w:highlight w:val="none"/>
        </w:rPr>
        <w:t>24.3在投标截止时间之后，供应商不得对其响应文件做任何实质性修改。</w:t>
      </w:r>
    </w:p>
    <w:p>
      <w:pPr>
        <w:spacing w:before="100" w:beforeAutospacing="1" w:after="100" w:afterAutospacing="1" w:line="440" w:lineRule="exact"/>
        <w:jc w:val="center"/>
        <w:outlineLvl w:val="0"/>
        <w:rPr>
          <w:rFonts w:ascii="宋体" w:hAnsi="宋体" w:cs="宋体"/>
          <w:b/>
          <w:color w:val="auto"/>
          <w:sz w:val="32"/>
          <w:szCs w:val="32"/>
          <w:highlight w:val="none"/>
        </w:rPr>
      </w:pPr>
      <w:bookmarkStart w:id="15" w:name="_Toc25160"/>
      <w:r>
        <w:rPr>
          <w:rFonts w:hint="eastAsia" w:ascii="宋体" w:hAnsi="宋体" w:cs="宋体"/>
          <w:b/>
          <w:color w:val="auto"/>
          <w:sz w:val="32"/>
          <w:szCs w:val="32"/>
          <w:highlight w:val="none"/>
        </w:rPr>
        <w:t>五、</w:t>
      </w:r>
      <w:bookmarkEnd w:id="15"/>
      <w:r>
        <w:rPr>
          <w:rFonts w:hint="eastAsia" w:ascii="宋体" w:hAnsi="宋体" w:cs="宋体"/>
          <w:b/>
          <w:color w:val="auto"/>
          <w:sz w:val="32"/>
          <w:szCs w:val="32"/>
          <w:highlight w:val="none"/>
        </w:rPr>
        <w:t>公开唱价、评审、成交</w:t>
      </w:r>
    </w:p>
    <w:p>
      <w:pPr>
        <w:topLinePunct/>
        <w:spacing w:line="440" w:lineRule="exact"/>
        <w:ind w:firstLine="562" w:firstLineChars="200"/>
        <w:rPr>
          <w:rFonts w:ascii="宋体" w:hAnsi="宋体" w:cs="宋体"/>
          <w:b/>
          <w:color w:val="auto"/>
          <w:sz w:val="28"/>
          <w:szCs w:val="21"/>
          <w:highlight w:val="none"/>
        </w:rPr>
      </w:pPr>
      <w:r>
        <w:rPr>
          <w:rFonts w:hint="eastAsia" w:ascii="宋体" w:hAnsi="宋体" w:cs="宋体"/>
          <w:b/>
          <w:color w:val="auto"/>
          <w:sz w:val="28"/>
          <w:szCs w:val="21"/>
          <w:highlight w:val="none"/>
        </w:rPr>
        <w:t>25.磋商小组</w:t>
      </w:r>
    </w:p>
    <w:p>
      <w:pPr>
        <w:topLinePunct/>
        <w:spacing w:line="440" w:lineRule="exact"/>
        <w:ind w:firstLine="560" w:firstLineChars="200"/>
        <w:rPr>
          <w:rFonts w:ascii="宋体" w:hAnsi="宋体" w:cs="宋体"/>
          <w:bCs/>
          <w:color w:val="auto"/>
          <w:sz w:val="28"/>
          <w:szCs w:val="21"/>
          <w:highlight w:val="none"/>
        </w:rPr>
      </w:pPr>
      <w:r>
        <w:rPr>
          <w:rFonts w:hint="eastAsia" w:ascii="宋体" w:hAnsi="宋体" w:cs="宋体"/>
          <w:bCs/>
          <w:color w:val="auto"/>
          <w:sz w:val="28"/>
          <w:szCs w:val="21"/>
          <w:highlight w:val="none"/>
        </w:rPr>
        <w:t xml:space="preserve">磋商小组由采购人代表和评审专家共 </w:t>
      </w:r>
      <w:r>
        <w:rPr>
          <w:rFonts w:hint="eastAsia" w:ascii="宋体" w:hAnsi="宋体" w:cs="宋体"/>
          <w:bCs/>
          <w:color w:val="auto"/>
          <w:sz w:val="28"/>
          <w:szCs w:val="21"/>
          <w:highlight w:val="none"/>
          <w:lang w:val="en-US" w:eastAsia="zh-CN"/>
        </w:rPr>
        <w:t>3</w:t>
      </w:r>
      <w:r>
        <w:rPr>
          <w:rFonts w:hint="eastAsia" w:ascii="宋体" w:hAnsi="宋体" w:cs="宋体"/>
          <w:bCs/>
          <w:color w:val="auto"/>
          <w:sz w:val="28"/>
          <w:szCs w:val="21"/>
          <w:highlight w:val="none"/>
        </w:rPr>
        <w:t>人以上单数组成，其中评审专家人数不得少于磋商小组成员总数的 2/3。</w:t>
      </w:r>
    </w:p>
    <w:p>
      <w:pPr>
        <w:pStyle w:val="24"/>
        <w:spacing w:line="440" w:lineRule="exact"/>
        <w:ind w:firstLine="562"/>
        <w:rPr>
          <w:rFonts w:ascii="宋体" w:hAnsi="宋体" w:cs="宋体"/>
          <w:b/>
          <w:color w:val="auto"/>
          <w:sz w:val="28"/>
          <w:szCs w:val="24"/>
          <w:highlight w:val="none"/>
        </w:rPr>
      </w:pPr>
      <w:r>
        <w:rPr>
          <w:rFonts w:hint="eastAsia" w:ascii="宋体" w:hAnsi="宋体" w:cs="宋体"/>
          <w:b/>
          <w:color w:val="auto"/>
          <w:sz w:val="28"/>
          <w:szCs w:val="24"/>
          <w:highlight w:val="none"/>
        </w:rPr>
        <w:t>26. 公开唱价</w:t>
      </w:r>
    </w:p>
    <w:p>
      <w:pPr>
        <w:pStyle w:val="24"/>
        <w:spacing w:line="440" w:lineRule="exact"/>
        <w:ind w:firstLine="560"/>
        <w:rPr>
          <w:rFonts w:ascii="宋体" w:hAnsi="宋体"/>
          <w:color w:val="auto"/>
          <w:sz w:val="28"/>
          <w:szCs w:val="28"/>
          <w:highlight w:val="none"/>
        </w:rPr>
      </w:pPr>
      <w:r>
        <w:rPr>
          <w:rFonts w:hint="eastAsia" w:ascii="宋体" w:hAnsi="宋体"/>
          <w:color w:val="auto"/>
          <w:sz w:val="28"/>
          <w:szCs w:val="28"/>
          <w:highlight w:val="none"/>
        </w:rPr>
        <w:t>26.1采购代理机构组织并主持竞争性磋商会议，参加磋商会议的供应商法定代表人或其授权代理人应签名报到，以证明其出席磋商会议。</w:t>
      </w:r>
    </w:p>
    <w:p>
      <w:pPr>
        <w:pStyle w:val="24"/>
        <w:spacing w:line="440" w:lineRule="exact"/>
        <w:ind w:firstLine="560"/>
        <w:rPr>
          <w:rFonts w:ascii="宋体" w:hAnsi="宋体"/>
          <w:color w:val="auto"/>
          <w:sz w:val="28"/>
          <w:szCs w:val="28"/>
          <w:highlight w:val="none"/>
        </w:rPr>
      </w:pPr>
      <w:r>
        <w:rPr>
          <w:rFonts w:hint="eastAsia" w:ascii="宋体" w:hAnsi="宋体"/>
          <w:color w:val="auto"/>
          <w:sz w:val="28"/>
          <w:szCs w:val="28"/>
          <w:highlight w:val="none"/>
        </w:rPr>
        <w:t>26.2应当由供应商或者其推选的代表检查响应文件的密封情况；也可以由采购人委托的公证机构检查并公证，经确认无误后签字确认。</w:t>
      </w:r>
    </w:p>
    <w:p>
      <w:pPr>
        <w:pStyle w:val="24"/>
        <w:spacing w:line="440" w:lineRule="exact"/>
        <w:ind w:firstLine="560"/>
        <w:rPr>
          <w:rFonts w:ascii="宋体" w:hAnsi="宋体"/>
          <w:color w:val="auto"/>
          <w:sz w:val="28"/>
          <w:szCs w:val="28"/>
          <w:highlight w:val="none"/>
        </w:rPr>
      </w:pPr>
      <w:r>
        <w:rPr>
          <w:rFonts w:hint="eastAsia" w:ascii="宋体" w:hAnsi="宋体"/>
          <w:color w:val="auto"/>
          <w:sz w:val="28"/>
          <w:szCs w:val="28"/>
          <w:highlight w:val="none"/>
        </w:rPr>
        <w:t>26.3报价：采购代理机构工作人员将当众拆封并宣读每个供应商的《报价一览表》中的报价，以及采购代理机构认为合适的其他详细内容。</w:t>
      </w:r>
    </w:p>
    <w:p>
      <w:pPr>
        <w:pStyle w:val="24"/>
        <w:spacing w:line="440" w:lineRule="exact"/>
        <w:ind w:firstLine="560"/>
        <w:rPr>
          <w:rFonts w:ascii="宋体" w:hAnsi="宋体"/>
          <w:color w:val="auto"/>
          <w:sz w:val="28"/>
          <w:szCs w:val="28"/>
          <w:highlight w:val="none"/>
        </w:rPr>
      </w:pPr>
      <w:r>
        <w:rPr>
          <w:rFonts w:hint="eastAsia" w:ascii="宋体" w:hAnsi="宋体"/>
          <w:color w:val="auto"/>
          <w:sz w:val="28"/>
          <w:szCs w:val="28"/>
          <w:highlight w:val="none"/>
        </w:rPr>
        <w:t>26.4响应文件报价前后不一致的，除响应文件另有规定外，按照下列规定修正：</w:t>
      </w:r>
    </w:p>
    <w:p>
      <w:pPr>
        <w:pStyle w:val="24"/>
        <w:spacing w:line="440" w:lineRule="exact"/>
        <w:ind w:firstLine="560"/>
        <w:rPr>
          <w:rFonts w:ascii="宋体" w:hAnsi="宋体"/>
          <w:color w:val="auto"/>
          <w:sz w:val="28"/>
          <w:szCs w:val="28"/>
          <w:highlight w:val="none"/>
        </w:rPr>
      </w:pPr>
      <w:r>
        <w:rPr>
          <w:rFonts w:hint="eastAsia" w:ascii="宋体" w:hAnsi="宋体"/>
          <w:color w:val="auto"/>
          <w:sz w:val="28"/>
          <w:szCs w:val="28"/>
          <w:highlight w:val="none"/>
        </w:rPr>
        <w:t>（一）响应文件中报价一览表内容与响应文件中相应内容不一致的，以报价一览表为准；</w:t>
      </w:r>
    </w:p>
    <w:p>
      <w:pPr>
        <w:pStyle w:val="24"/>
        <w:spacing w:line="440" w:lineRule="exact"/>
        <w:ind w:firstLine="560"/>
        <w:rPr>
          <w:rFonts w:ascii="宋体" w:hAnsi="宋体"/>
          <w:color w:val="auto"/>
          <w:sz w:val="28"/>
          <w:szCs w:val="28"/>
          <w:highlight w:val="none"/>
        </w:rPr>
      </w:pPr>
      <w:r>
        <w:rPr>
          <w:rFonts w:hint="eastAsia" w:ascii="宋体" w:hAnsi="宋体"/>
          <w:color w:val="auto"/>
          <w:sz w:val="28"/>
          <w:szCs w:val="28"/>
          <w:highlight w:val="none"/>
        </w:rPr>
        <w:t>（二）大写金额和小写金额不一致的，以大写金额为准；</w:t>
      </w:r>
    </w:p>
    <w:p>
      <w:pPr>
        <w:pStyle w:val="24"/>
        <w:spacing w:line="440" w:lineRule="exact"/>
        <w:ind w:firstLine="560"/>
        <w:rPr>
          <w:rFonts w:ascii="宋体" w:hAnsi="宋体"/>
          <w:color w:val="auto"/>
          <w:sz w:val="28"/>
          <w:szCs w:val="28"/>
          <w:highlight w:val="none"/>
        </w:rPr>
      </w:pPr>
      <w:r>
        <w:rPr>
          <w:rFonts w:hint="eastAsia" w:ascii="宋体" w:hAnsi="宋体"/>
          <w:color w:val="auto"/>
          <w:sz w:val="28"/>
          <w:szCs w:val="28"/>
          <w:highlight w:val="none"/>
        </w:rPr>
        <w:t>（三）单价金额小数点或者百分比有明显错位的，以总价为准，并修改单价；</w:t>
      </w:r>
    </w:p>
    <w:p>
      <w:pPr>
        <w:pStyle w:val="24"/>
        <w:spacing w:line="440" w:lineRule="exact"/>
        <w:ind w:firstLine="560"/>
        <w:rPr>
          <w:rFonts w:ascii="宋体" w:hAnsi="宋体"/>
          <w:color w:val="auto"/>
          <w:sz w:val="28"/>
          <w:szCs w:val="28"/>
          <w:highlight w:val="none"/>
        </w:rPr>
      </w:pPr>
      <w:r>
        <w:rPr>
          <w:rFonts w:hint="eastAsia" w:ascii="宋体" w:hAnsi="宋体"/>
          <w:color w:val="auto"/>
          <w:sz w:val="28"/>
          <w:szCs w:val="28"/>
          <w:highlight w:val="none"/>
        </w:rPr>
        <w:t>（四）总价金额与按单价汇总金额不一致的，以单价金额计算结果为准。</w:t>
      </w:r>
    </w:p>
    <w:p>
      <w:pPr>
        <w:pStyle w:val="24"/>
        <w:spacing w:line="440" w:lineRule="exact"/>
        <w:ind w:firstLine="560"/>
        <w:rPr>
          <w:rFonts w:ascii="宋体" w:hAnsi="宋体"/>
          <w:color w:val="auto"/>
          <w:sz w:val="28"/>
          <w:szCs w:val="28"/>
          <w:highlight w:val="none"/>
        </w:rPr>
      </w:pPr>
      <w:r>
        <w:rPr>
          <w:rFonts w:hint="eastAsia" w:ascii="宋体" w:hAnsi="宋体"/>
          <w:color w:val="auto"/>
          <w:sz w:val="28"/>
          <w:szCs w:val="28"/>
          <w:highlight w:val="none"/>
        </w:rPr>
        <w:t>同时出现两种以上不一致的，按照前款规定的顺序修正。修正后的报价经供应商确认后产生约束力，供应商不确认的，其报价无效。对不同文字文本响应文件的解释发生异议的，以中文文本为准。</w:t>
      </w:r>
    </w:p>
    <w:p>
      <w:pPr>
        <w:pStyle w:val="24"/>
        <w:spacing w:line="440" w:lineRule="exact"/>
        <w:ind w:firstLine="560"/>
        <w:rPr>
          <w:rFonts w:ascii="宋体" w:hAnsi="宋体"/>
          <w:color w:val="auto"/>
          <w:sz w:val="28"/>
          <w:szCs w:val="28"/>
          <w:highlight w:val="none"/>
        </w:rPr>
      </w:pPr>
      <w:r>
        <w:rPr>
          <w:rFonts w:hint="eastAsia" w:ascii="宋体" w:hAnsi="宋体"/>
          <w:color w:val="auto"/>
          <w:sz w:val="28"/>
          <w:szCs w:val="28"/>
          <w:highlight w:val="none"/>
        </w:rPr>
        <w:t>26.5报价过程应当由采购代理机构指定专人负责记录，并存档备查。</w:t>
      </w:r>
    </w:p>
    <w:p>
      <w:pPr>
        <w:topLinePunct/>
        <w:spacing w:line="440" w:lineRule="exact"/>
        <w:ind w:firstLine="562" w:firstLineChars="200"/>
        <w:rPr>
          <w:rFonts w:ascii="宋体" w:hAnsi="宋体" w:cs="宋体"/>
          <w:b/>
          <w:color w:val="auto"/>
          <w:sz w:val="28"/>
          <w:szCs w:val="21"/>
          <w:highlight w:val="none"/>
        </w:rPr>
      </w:pPr>
      <w:r>
        <w:rPr>
          <w:rFonts w:hint="eastAsia" w:ascii="宋体" w:hAnsi="宋体" w:cs="宋体"/>
          <w:b/>
          <w:color w:val="auto"/>
          <w:sz w:val="28"/>
          <w:szCs w:val="21"/>
          <w:highlight w:val="none"/>
        </w:rPr>
        <w:t>27、响应文件的有效性</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27.1开标时，响应文件出现下列情形之一的，应当作为无效响应文件，不得进入评标：</w:t>
      </w:r>
    </w:p>
    <w:p>
      <w:pPr>
        <w:numPr>
          <w:ilvl w:val="1"/>
          <w:numId w:val="10"/>
        </w:numPr>
        <w:topLinePunct/>
        <w:spacing w:line="440" w:lineRule="exact"/>
        <w:rPr>
          <w:rFonts w:ascii="宋体" w:hAnsi="宋体" w:cs="宋体"/>
          <w:color w:val="auto"/>
          <w:sz w:val="28"/>
          <w:szCs w:val="21"/>
          <w:highlight w:val="none"/>
        </w:rPr>
      </w:pPr>
      <w:r>
        <w:rPr>
          <w:rFonts w:hint="eastAsia" w:ascii="宋体" w:hAnsi="宋体" w:cs="宋体"/>
          <w:color w:val="auto"/>
          <w:sz w:val="28"/>
          <w:szCs w:val="21"/>
          <w:highlight w:val="none"/>
        </w:rPr>
        <w:t>逾期送达或者未送达指定地点的。</w:t>
      </w:r>
    </w:p>
    <w:p>
      <w:pPr>
        <w:numPr>
          <w:ilvl w:val="1"/>
          <w:numId w:val="10"/>
        </w:numPr>
        <w:topLinePunct/>
        <w:spacing w:line="440" w:lineRule="exact"/>
        <w:rPr>
          <w:rFonts w:ascii="宋体" w:hAnsi="宋体" w:cs="宋体"/>
          <w:color w:val="auto"/>
          <w:sz w:val="28"/>
          <w:szCs w:val="21"/>
          <w:highlight w:val="none"/>
        </w:rPr>
      </w:pPr>
      <w:r>
        <w:rPr>
          <w:rFonts w:hint="eastAsia" w:ascii="宋体" w:hAnsi="宋体" w:cs="宋体"/>
          <w:color w:val="auto"/>
          <w:sz w:val="28"/>
          <w:szCs w:val="21"/>
          <w:highlight w:val="none"/>
        </w:rPr>
        <w:t>响应文件未按要求密封的。</w:t>
      </w:r>
    </w:p>
    <w:p>
      <w:pPr>
        <w:numPr>
          <w:ilvl w:val="1"/>
          <w:numId w:val="10"/>
        </w:numPr>
        <w:topLinePunct/>
        <w:spacing w:line="440" w:lineRule="exact"/>
        <w:rPr>
          <w:rFonts w:ascii="宋体" w:hAnsi="宋体" w:cs="宋体"/>
          <w:color w:val="auto"/>
          <w:sz w:val="28"/>
          <w:szCs w:val="21"/>
          <w:highlight w:val="none"/>
        </w:rPr>
      </w:pPr>
      <w:r>
        <w:rPr>
          <w:rFonts w:hint="eastAsia" w:ascii="宋体" w:hAnsi="宋体" w:cs="宋体"/>
          <w:color w:val="auto"/>
          <w:sz w:val="28"/>
          <w:szCs w:val="21"/>
          <w:highlight w:val="none"/>
        </w:rPr>
        <w:t>要求加盖公章处未加盖公章的。</w:t>
      </w:r>
    </w:p>
    <w:p>
      <w:pPr>
        <w:numPr>
          <w:ilvl w:val="1"/>
          <w:numId w:val="10"/>
        </w:numPr>
        <w:topLinePunct/>
        <w:spacing w:line="440" w:lineRule="exact"/>
        <w:rPr>
          <w:rFonts w:ascii="宋体" w:hAnsi="宋体" w:cs="宋体"/>
          <w:color w:val="auto"/>
          <w:sz w:val="28"/>
          <w:szCs w:val="21"/>
          <w:highlight w:val="none"/>
        </w:rPr>
      </w:pPr>
      <w:r>
        <w:rPr>
          <w:rFonts w:hint="eastAsia" w:ascii="宋体" w:hAnsi="宋体" w:cs="宋体"/>
          <w:color w:val="auto"/>
          <w:sz w:val="28"/>
          <w:szCs w:val="21"/>
          <w:highlight w:val="none"/>
        </w:rPr>
        <w:t>不具备磋商文件中规定的资格资质要求的。</w:t>
      </w:r>
    </w:p>
    <w:p>
      <w:pPr>
        <w:numPr>
          <w:ilvl w:val="1"/>
          <w:numId w:val="10"/>
        </w:numPr>
        <w:topLinePunct/>
        <w:spacing w:line="440" w:lineRule="exact"/>
        <w:rPr>
          <w:rFonts w:ascii="宋体" w:hAnsi="宋体" w:cs="宋体"/>
          <w:color w:val="auto"/>
          <w:sz w:val="28"/>
          <w:szCs w:val="21"/>
          <w:highlight w:val="none"/>
        </w:rPr>
      </w:pPr>
      <w:r>
        <w:rPr>
          <w:rFonts w:hint="eastAsia" w:ascii="宋体" w:hAnsi="宋体" w:cs="宋体"/>
          <w:color w:val="auto"/>
          <w:sz w:val="28"/>
          <w:szCs w:val="21"/>
          <w:highlight w:val="none"/>
        </w:rPr>
        <w:t>法律、法规及磋商文件规定的其它情况。</w:t>
      </w:r>
    </w:p>
    <w:p>
      <w:pPr>
        <w:numPr>
          <w:ilvl w:val="0"/>
          <w:numId w:val="10"/>
        </w:numPr>
        <w:topLinePunct/>
        <w:spacing w:line="440" w:lineRule="exact"/>
        <w:rPr>
          <w:rFonts w:ascii="宋体" w:hAnsi="宋体" w:cs="宋体"/>
          <w:bCs/>
          <w:color w:val="auto"/>
          <w:sz w:val="28"/>
          <w:szCs w:val="21"/>
          <w:highlight w:val="none"/>
        </w:rPr>
      </w:pPr>
      <w:r>
        <w:rPr>
          <w:rFonts w:hint="eastAsia" w:ascii="宋体" w:hAnsi="宋体" w:cs="宋体"/>
          <w:color w:val="auto"/>
          <w:sz w:val="28"/>
          <w:szCs w:val="21"/>
          <w:highlight w:val="none"/>
        </w:rPr>
        <w:t>采购代理机构将有效响应文件送评标委员会评审、比较。</w:t>
      </w:r>
    </w:p>
    <w:p>
      <w:pPr>
        <w:numPr>
          <w:ilvl w:val="0"/>
          <w:numId w:val="10"/>
        </w:numPr>
        <w:topLinePunct/>
        <w:spacing w:line="440" w:lineRule="exact"/>
        <w:rPr>
          <w:rFonts w:ascii="宋体" w:hAnsi="宋体" w:cs="宋体"/>
          <w:color w:val="auto"/>
          <w:sz w:val="28"/>
          <w:szCs w:val="21"/>
          <w:highlight w:val="none"/>
        </w:rPr>
      </w:pPr>
      <w:r>
        <w:rPr>
          <w:rFonts w:hint="eastAsia" w:ascii="宋体" w:hAnsi="宋体" w:cs="宋体"/>
          <w:bCs/>
          <w:color w:val="auto"/>
          <w:sz w:val="28"/>
          <w:szCs w:val="21"/>
          <w:highlight w:val="none"/>
        </w:rPr>
        <w:t>其它情况及处理</w:t>
      </w:r>
    </w:p>
    <w:p>
      <w:pPr>
        <w:tabs>
          <w:tab w:val="left" w:pos="475"/>
        </w:tabs>
        <w:adjustRightInd w:val="0"/>
        <w:snapToGrid w:val="0"/>
        <w:spacing w:line="440" w:lineRule="exact"/>
        <w:ind w:firstLine="560" w:firstLineChars="200"/>
        <w:rPr>
          <w:rFonts w:ascii="宋体" w:hAnsi="宋体" w:cs="宋体"/>
          <w:bCs/>
          <w:color w:val="auto"/>
          <w:sz w:val="28"/>
          <w:szCs w:val="21"/>
          <w:highlight w:val="none"/>
        </w:rPr>
      </w:pPr>
      <w:r>
        <w:rPr>
          <w:rFonts w:hint="eastAsia" w:ascii="宋体" w:hAnsi="宋体" w:cs="宋体"/>
          <w:color w:val="auto"/>
          <w:sz w:val="28"/>
          <w:szCs w:val="21"/>
          <w:highlight w:val="none"/>
        </w:rPr>
        <w:t>27.2供应商有下列情况之一，其投标无效，而且采购人、采购代理机构将严格依照《中华人民共和国政府采购法》及有关法律、法规及规章的规定行使其权利。供应商给采购人、采购代理机构造成损失的，应予以赔偿</w:t>
      </w:r>
      <w:r>
        <w:rPr>
          <w:rFonts w:hint="eastAsia" w:ascii="宋体" w:hAnsi="宋体" w:cs="宋体"/>
          <w:bCs/>
          <w:color w:val="auto"/>
          <w:sz w:val="28"/>
          <w:szCs w:val="21"/>
          <w:highlight w:val="none"/>
        </w:rPr>
        <w:t>。</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（1）提供虚假材料谋取中标、成交的；</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（2）采取不正当手段诋毁、排挤其他供应商的；</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（3）供应商与采购人、其他供应商或者采购代理机构恶意串通的；</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（4）供应商向采购人、采购代理机构、评标委员会成员提供不正当利益；</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（5）在采购过程中主动与采购人进行协商谈判的；</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（6）法律、法规规定的其他情况。</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27.3成交供应商有下列情形之一的，其投标无效；情节严重的，由财政部门将其列入不良行为记录名单，在一至三年内禁止参加政府采购活动，并予以通报：</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（一）中标后无正当理由不与采购人或者采购代理机构签订合同的；</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（二）将中标项目转让给他人，或者在响应文件中未说明，且未经采购人同意，将中标项目分包给他人的；</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（三）拒绝履行合同义务的。</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27.4在采购活动中，有下列情形之一的，采购人、采购代理机构应当予以废标或者终止采购活动，并将理由书面告知所有供应商：</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（1）在投标截止时间结束后参加投标的供应商不足3家，符合磋商文件规定条件的供应商不足3家或者对磋商文件作实质性响应的供应商不足3家的；</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（2）出现影响采购公正的违法违规行为的；</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（3）供应商的报价均超过采购预算的；</w:t>
      </w:r>
    </w:p>
    <w:p>
      <w:pPr>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（4）因重大变故，采购任务取消的。</w:t>
      </w:r>
    </w:p>
    <w:p>
      <w:pPr>
        <w:topLinePunct/>
        <w:spacing w:line="440" w:lineRule="exact"/>
        <w:ind w:firstLine="562" w:firstLineChars="200"/>
        <w:rPr>
          <w:rFonts w:ascii="宋体" w:hAnsi="宋体" w:cs="宋体"/>
          <w:b/>
          <w:color w:val="auto"/>
          <w:sz w:val="28"/>
          <w:szCs w:val="21"/>
          <w:highlight w:val="none"/>
        </w:rPr>
      </w:pPr>
      <w:r>
        <w:rPr>
          <w:rFonts w:hint="eastAsia" w:ascii="宋体" w:hAnsi="宋体" w:cs="宋体"/>
          <w:b/>
          <w:color w:val="auto"/>
          <w:sz w:val="28"/>
          <w:szCs w:val="21"/>
          <w:highlight w:val="none"/>
        </w:rPr>
        <w:t>28、评审</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28.1响应文件初审。初审分为资格性检查和符合性检查</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（1）资格性检查。依据法律法规和磋商文件的规定，对响应文件中的资格证明等进行审查，以确定供应商是否具备报价资格。</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（2）符合性检查。依据磋商文件的规定，从响应文件的有效性、完整性和对磋商文件的响应程度进行审查，以确定是否对磋商文件的实质性要求作出响应。</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实质性响应的响应文件是与磋商文件要求没有重大偏离。所谓重大偏离是指影响到磋商文件规定的合同内容、服务质量，而且限制了采购人的权利或供应商的义务，纠正这些偏离将会对其他实质性响应要求的供应商的竞争地位产生不公正的影响。</w:t>
      </w:r>
    </w:p>
    <w:p>
      <w:pPr>
        <w:topLinePunct/>
        <w:spacing w:line="440" w:lineRule="exact"/>
        <w:ind w:firstLine="560" w:firstLineChars="200"/>
        <w:rPr>
          <w:color w:val="auto"/>
          <w:sz w:val="22"/>
          <w:szCs w:val="21"/>
          <w:highlight w:val="none"/>
        </w:rPr>
      </w:pPr>
      <w:r>
        <w:rPr>
          <w:rFonts w:hint="eastAsia" w:ascii="宋体" w:hAnsi="宋体" w:cs="宋体"/>
          <w:color w:val="auto"/>
          <w:sz w:val="28"/>
          <w:szCs w:val="21"/>
          <w:highlight w:val="none"/>
        </w:rPr>
        <w:t>28.2磋商小组成员应当按照客观、公正、审慎的原则，根据磋商文件的规定，对响应文件进行独立评审。未实质性响应磋商文件的响应文件按无效响应处理，磋商小组应当告知提交响应文件的供应商。</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28.3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磋商小组要求供应商澄清、说明或者更正响应文件应当以书面形式作出。供应商的澄清、说明或者更正应当由法定代表人或其授权代理人签字或者加盖公章。由授权代理人签字的，应当附法定代表人授权委托书。</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28.4磋商小组所有成员应当集中与单一供应商分别进行磋商，并给予所有参加磋商的供应商平等的磋商机会。</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28.5在磋商过程中，磋商小组可以根据磋商文件和磋商情况实质性变动采购需求中的技术、服务要求以及合同草案条款，但不得变动磋商文件中的其他内容。实质性变动的内容，须经采购人代表确认。</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对磋商文件作出的实质性变动是磋商文件的有效组成部分，磋商小组应当及时以书面形式同时通知所有参加磋商的供应商。</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供应商应当按照磋商文件的变动情况和磋商小组的要求重新提交响应文件，并由其法定代表人或授权代理人签字或者加盖公章。由授权代理人签字的，应当附法定代表人授权委托书。</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28.6磋商文件能够详细列明采购标的的技术、服务要求的，磋商结束后，磋商小组应当要求所有实质性响应的供应商在规定时间内提交最后报价，提交最后报价的供应商不得少于3家。根据财政部《关于政府采购竞争性磋商采购方式管理暂行办法有关问题的补充通知》（财库[2015]124 号）文件规定“采用竞争性磋商采购方式采购的政府购买服务项目（含政府和社会资本合作项目），在采购过程中符合要求的供应商（社会资本）只有2家的，竞争性磋商采购活动可以继续进行。</w:t>
      </w:r>
    </w:p>
    <w:p>
      <w:pPr>
        <w:topLinePunct/>
        <w:spacing w:line="440" w:lineRule="exact"/>
        <w:ind w:firstLine="562" w:firstLineChars="200"/>
        <w:rPr>
          <w:rFonts w:ascii="宋体" w:hAnsi="宋体" w:cs="宋体"/>
          <w:color w:val="auto"/>
          <w:sz w:val="28"/>
          <w:szCs w:val="21"/>
          <w:highlight w:val="none"/>
        </w:rPr>
      </w:pPr>
      <w:r>
        <w:rPr>
          <w:rFonts w:hint="eastAsia" w:ascii="宋体" w:hAnsi="宋体" w:cs="宋体"/>
          <w:b/>
          <w:bCs/>
          <w:color w:val="auto"/>
          <w:sz w:val="28"/>
          <w:szCs w:val="21"/>
          <w:highlight w:val="none"/>
        </w:rPr>
        <w:t>最后报价是供应商响应文件的有效组成部分。</w:t>
      </w:r>
      <w:r>
        <w:rPr>
          <w:rFonts w:hint="eastAsia" w:ascii="宋体" w:hAnsi="宋体" w:cs="宋体"/>
          <w:color w:val="auto"/>
          <w:sz w:val="28"/>
          <w:szCs w:val="21"/>
          <w:highlight w:val="none"/>
        </w:rPr>
        <w:t>市场竞争不充分的科研项目，以及需要扶持的科技成果转化项目，提交最后报价的供应商可以为两家。</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28.7评审过程中，磋商小组发现供应商的报价明显低于其他报价，使得该报价可能低于其成本的，应当要求该供应商做出书面说明并提供相关证明材料。供应商不能合理说明或不能提供相关证明材料，由竞争性磋商小组认定该供应商低于成本报价。其报价应作为无效报价处理。</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28.8经磋商确定最终采购需求和提交最后报价供应商后，由磋商小组采用综合评分法对提交最后报价的供应商的响应文件和最后报价进行综合评分。</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综合评分法，是指响应文件满足磋商文件全部实质性要求且按评审因素的量化指标评审得分最高的供应商为成交候选供应商的评审方法。</w:t>
      </w:r>
    </w:p>
    <w:p>
      <w:pPr>
        <w:topLinePunct/>
        <w:spacing w:line="440" w:lineRule="exact"/>
        <w:ind w:firstLine="560" w:firstLineChars="200"/>
        <w:rPr>
          <w:rFonts w:hint="eastAsia"/>
          <w:color w:val="auto"/>
          <w:highlight w:val="none"/>
        </w:rPr>
      </w:pPr>
      <w:r>
        <w:rPr>
          <w:rFonts w:hint="eastAsia" w:ascii="宋体" w:hAnsi="宋体" w:cs="宋体"/>
          <w:color w:val="auto"/>
          <w:sz w:val="28"/>
          <w:szCs w:val="21"/>
          <w:highlight w:val="none"/>
        </w:rPr>
        <w:t>28.9评审时，磋各成员应当独立对每个有效响应的文件进行评价、打分， 然后汇总每个供应商每项评分因素的得分。</w:t>
      </w:r>
    </w:p>
    <w:p>
      <w:pPr>
        <w:pStyle w:val="12"/>
        <w:rPr>
          <w:color w:val="auto"/>
          <w:highlight w:val="none"/>
        </w:rPr>
      </w:pPr>
      <w:r>
        <w:rPr>
          <w:rFonts w:hint="eastAsia" w:ascii="宋体" w:hAnsi="宋体" w:cs="宋体"/>
          <w:bCs/>
          <w:caps w:val="0"/>
          <w:color w:val="auto"/>
          <w:sz w:val="28"/>
          <w:szCs w:val="21"/>
          <w:highlight w:val="none"/>
        </w:rPr>
        <w:t>具体评标细则：</w:t>
      </w:r>
    </w:p>
    <w:tbl>
      <w:tblPr>
        <w:tblStyle w:val="17"/>
        <w:tblW w:w="98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8"/>
        <w:gridCol w:w="1957"/>
        <w:gridCol w:w="6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538"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jc w:val="center"/>
              <w:rPr>
                <w:rFonts w:hint="default" w:ascii="宋体" w:cs="宋体"/>
                <w:color w:val="auto"/>
                <w:sz w:val="28"/>
                <w:szCs w:val="28"/>
                <w:highlight w:val="none"/>
              </w:rPr>
            </w:pPr>
            <w:r>
              <w:rPr>
                <w:rFonts w:hint="eastAsia" w:ascii="宋体" w:hAnsi="宋体" w:cs="宋体"/>
                <w:color w:val="auto"/>
                <w:sz w:val="28"/>
                <w:szCs w:val="28"/>
                <w:highlight w:val="none"/>
              </w:rPr>
              <w:t>评审项目</w:t>
            </w:r>
          </w:p>
        </w:tc>
        <w:tc>
          <w:tcPr>
            <w:tcW w:w="1957"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jc w:val="center"/>
              <w:rPr>
                <w:rFonts w:hint="default" w:ascii="宋体" w:cs="宋体"/>
                <w:color w:val="auto"/>
                <w:sz w:val="28"/>
                <w:szCs w:val="28"/>
                <w:highlight w:val="none"/>
              </w:rPr>
            </w:pPr>
            <w:r>
              <w:rPr>
                <w:rFonts w:hint="eastAsia" w:ascii="宋体" w:hAnsi="宋体" w:cs="宋体"/>
                <w:color w:val="auto"/>
                <w:sz w:val="28"/>
                <w:szCs w:val="28"/>
                <w:highlight w:val="none"/>
              </w:rPr>
              <w:t>评审因素</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jc w:val="center"/>
              <w:rPr>
                <w:rFonts w:hint="default" w:ascii="宋体" w:cs="宋体"/>
                <w:color w:val="auto"/>
                <w:sz w:val="28"/>
                <w:szCs w:val="28"/>
                <w:highlight w:val="none"/>
              </w:rPr>
            </w:pPr>
            <w:r>
              <w:rPr>
                <w:rFonts w:hint="eastAsia" w:ascii="宋体" w:hAnsi="宋体" w:cs="宋体"/>
                <w:color w:val="auto"/>
                <w:sz w:val="28"/>
                <w:szCs w:val="28"/>
                <w:highlight w:val="none"/>
              </w:rPr>
              <w:t>评审要点及说明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1538"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报价得分</w:t>
            </w:r>
          </w:p>
          <w:p>
            <w:pPr>
              <w:keepNext w:val="0"/>
              <w:keepLines w:val="0"/>
              <w:suppressLineNumbers w:val="0"/>
              <w:spacing w:before="0" w:beforeAutospacing="0" w:after="0" w:afterAutospacing="0" w:line="200" w:lineRule="atLeast"/>
              <w:ind w:left="134" w:right="0"/>
              <w:jc w:val="center"/>
              <w:rPr>
                <w:rFonts w:hint="eastAsia" w:eastAsia="宋体"/>
                <w:color w:val="auto"/>
                <w:szCs w:val="20"/>
                <w:highlight w:val="none"/>
                <w:lang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0分）</w:t>
            </w:r>
          </w:p>
        </w:tc>
        <w:tc>
          <w:tcPr>
            <w:tcW w:w="1957"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投标报价</w:t>
            </w:r>
          </w:p>
          <w:p>
            <w:pPr>
              <w:keepNext w:val="0"/>
              <w:keepLines w:val="0"/>
              <w:suppressLineNumbers w:val="0"/>
              <w:spacing w:before="0" w:beforeAutospacing="0" w:after="0" w:afterAutospacing="0" w:line="200" w:lineRule="atLeast"/>
              <w:ind w:left="134" w:right="0"/>
              <w:jc w:val="center"/>
              <w:rPr>
                <w:rFonts w:hint="eastAsia" w:ascii="宋体" w:eastAsia="宋体" w:cs="宋体"/>
                <w:color w:val="auto"/>
                <w:sz w:val="28"/>
                <w:szCs w:val="28"/>
                <w:highlight w:val="none"/>
                <w:lang w:eastAsia="zh-CN"/>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30分</w:t>
            </w:r>
            <w:r>
              <w:rPr>
                <w:rFonts w:hint="eastAsia" w:ascii="宋体" w:hAnsi="宋体" w:cs="宋体"/>
                <w:color w:val="auto"/>
                <w:sz w:val="28"/>
                <w:szCs w:val="28"/>
                <w:highlight w:val="none"/>
                <w:lang w:eastAsia="zh-CN"/>
              </w:rPr>
              <w:t>）</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rPr>
            </w:pPr>
            <w:r>
              <w:rPr>
                <w:rFonts w:hint="eastAsia" w:ascii="宋体" w:hAnsi="宋体" w:eastAsia="宋体" w:cs="Arial Unicode MS"/>
                <w:bCs/>
                <w:color w:val="auto"/>
                <w:sz w:val="28"/>
                <w:szCs w:val="28"/>
                <w:highlight w:val="none"/>
                <w:lang w:val="en-US" w:eastAsia="zh-CN"/>
              </w:rPr>
              <w:t>综合评分法中的价格分统一采用低价优先法计算，即满足</w:t>
            </w:r>
            <w:r>
              <w:rPr>
                <w:rFonts w:hint="eastAsia" w:ascii="宋体" w:hAnsi="宋体" w:cs="Arial Unicode MS"/>
                <w:bCs/>
                <w:color w:val="auto"/>
                <w:sz w:val="28"/>
                <w:szCs w:val="28"/>
                <w:highlight w:val="none"/>
                <w:lang w:val="en-US" w:eastAsia="zh-CN"/>
              </w:rPr>
              <w:t>磋商文件</w:t>
            </w:r>
            <w:r>
              <w:rPr>
                <w:rFonts w:hint="eastAsia" w:ascii="宋体" w:hAnsi="宋体" w:eastAsia="宋体" w:cs="Arial Unicode MS"/>
                <w:bCs/>
                <w:color w:val="auto"/>
                <w:sz w:val="28"/>
                <w:szCs w:val="28"/>
                <w:highlight w:val="none"/>
                <w:lang w:val="en-US" w:eastAsia="zh-CN"/>
              </w:rPr>
              <w:t>要求且最后报价最低的投标人的价格为投标基准价，其价格分为满分。</w:t>
            </w:r>
            <w:r>
              <w:rPr>
                <w:rFonts w:hint="eastAsia" w:ascii="宋体" w:hAnsi="宋体" w:eastAsia="宋体" w:cs="Arial Unicode MS"/>
                <w:bCs/>
                <w:color w:val="auto"/>
                <w:sz w:val="28"/>
                <w:szCs w:val="28"/>
                <w:highlight w:val="none"/>
              </w:rPr>
              <w:t>其他</w:t>
            </w:r>
            <w:r>
              <w:rPr>
                <w:rFonts w:hint="eastAsia" w:ascii="宋体" w:hAnsi="宋体" w:eastAsia="宋体" w:cs="Arial Unicode MS"/>
                <w:bCs/>
                <w:color w:val="auto"/>
                <w:sz w:val="28"/>
                <w:szCs w:val="28"/>
                <w:highlight w:val="none"/>
                <w:lang w:val="en-US" w:eastAsia="zh-CN"/>
              </w:rPr>
              <w:t>投标人</w:t>
            </w:r>
            <w:r>
              <w:rPr>
                <w:rFonts w:hint="eastAsia" w:ascii="宋体" w:hAnsi="宋体" w:eastAsia="宋体" w:cs="Arial Unicode MS"/>
                <w:bCs/>
                <w:color w:val="auto"/>
                <w:sz w:val="28"/>
                <w:szCs w:val="28"/>
                <w:highlight w:val="none"/>
              </w:rPr>
              <w:t>的价格分统一按照下列公式计算：</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rPr>
            </w:pPr>
            <w:r>
              <w:rPr>
                <w:rFonts w:hint="eastAsia" w:ascii="宋体" w:hAnsi="宋体" w:eastAsia="宋体" w:cs="Arial Unicode MS"/>
                <w:bCs/>
                <w:color w:val="auto"/>
                <w:sz w:val="28"/>
                <w:szCs w:val="28"/>
                <w:highlight w:val="none"/>
                <w:lang w:val="en-US" w:eastAsia="zh-CN"/>
              </w:rPr>
              <w:t>评标报价得分</w:t>
            </w:r>
            <w:r>
              <w:rPr>
                <w:rFonts w:hint="eastAsia" w:ascii="宋体" w:hAnsi="宋体" w:eastAsia="宋体" w:cs="Arial Unicode MS"/>
                <w:bCs/>
                <w:color w:val="auto"/>
                <w:sz w:val="28"/>
                <w:szCs w:val="28"/>
                <w:highlight w:val="none"/>
              </w:rPr>
              <w:t>=（</w:t>
            </w:r>
            <w:r>
              <w:rPr>
                <w:rFonts w:hint="eastAsia" w:ascii="宋体" w:hAnsi="宋体" w:eastAsia="宋体" w:cs="Arial Unicode MS"/>
                <w:bCs/>
                <w:color w:val="auto"/>
                <w:sz w:val="28"/>
                <w:szCs w:val="28"/>
                <w:highlight w:val="none"/>
                <w:lang w:val="en-US" w:eastAsia="zh-CN"/>
              </w:rPr>
              <w:t>评标</w:t>
            </w:r>
            <w:r>
              <w:rPr>
                <w:rFonts w:hint="eastAsia" w:ascii="宋体" w:hAnsi="宋体" w:eastAsia="宋体" w:cs="Arial Unicode MS"/>
                <w:bCs/>
                <w:color w:val="auto"/>
                <w:sz w:val="28"/>
                <w:szCs w:val="28"/>
                <w:highlight w:val="none"/>
              </w:rPr>
              <w:t>基准价/</w:t>
            </w:r>
            <w:r>
              <w:rPr>
                <w:rFonts w:hint="eastAsia" w:ascii="宋体" w:hAnsi="宋体" w:eastAsia="宋体" w:cs="Arial Unicode MS"/>
                <w:bCs/>
                <w:color w:val="auto"/>
                <w:sz w:val="28"/>
                <w:szCs w:val="28"/>
                <w:highlight w:val="none"/>
                <w:lang w:val="en-US" w:eastAsia="zh-CN"/>
              </w:rPr>
              <w:t>评标报价</w:t>
            </w:r>
            <w:r>
              <w:rPr>
                <w:rFonts w:hint="eastAsia" w:ascii="宋体" w:hAnsi="宋体" w:eastAsia="宋体" w:cs="Arial Unicode MS"/>
                <w:bCs/>
                <w:color w:val="auto"/>
                <w:sz w:val="28"/>
                <w:szCs w:val="28"/>
                <w:highlight w:val="none"/>
              </w:rPr>
              <w:t>）×</w:t>
            </w:r>
            <w:r>
              <w:rPr>
                <w:rFonts w:hint="eastAsia" w:ascii="宋体" w:hAnsi="宋体" w:cs="Arial Unicode MS"/>
                <w:bCs/>
                <w:color w:val="auto"/>
                <w:sz w:val="28"/>
                <w:szCs w:val="28"/>
                <w:highlight w:val="none"/>
                <w:lang w:val="en-US" w:eastAsia="zh-CN"/>
              </w:rPr>
              <w:t>3</w:t>
            </w:r>
            <w:r>
              <w:rPr>
                <w:rFonts w:hint="eastAsia" w:ascii="宋体" w:hAnsi="宋体" w:eastAsia="宋体" w:cs="Arial Unicode MS"/>
                <w:bCs/>
                <w:color w:val="auto"/>
                <w:sz w:val="28"/>
                <w:szCs w:val="28"/>
                <w:highlight w:val="none"/>
              </w:rPr>
              <w:t>0。</w:t>
            </w:r>
          </w:p>
          <w:p>
            <w:pPr>
              <w:keepNext w:val="0"/>
              <w:keepLines w:val="0"/>
              <w:suppressLineNumbers w:val="0"/>
              <w:spacing w:before="0" w:beforeAutospacing="0" w:after="0" w:afterAutospacing="0" w:line="200" w:lineRule="atLeast"/>
              <w:ind w:left="0" w:right="0"/>
              <w:rPr>
                <w:rFonts w:hint="default" w:ascii="宋体" w:cs="宋体"/>
                <w:color w:val="auto"/>
                <w:sz w:val="28"/>
                <w:szCs w:val="28"/>
                <w:highlight w:val="none"/>
              </w:rPr>
            </w:pPr>
            <w:r>
              <w:rPr>
                <w:rFonts w:hint="eastAsia" w:ascii="宋体" w:hAnsi="宋体" w:eastAsia="宋体" w:cs="Arial Unicode MS"/>
                <w:bCs/>
                <w:color w:val="auto"/>
                <w:sz w:val="28"/>
                <w:szCs w:val="28"/>
                <w:highlight w:val="none"/>
                <w:lang w:val="en-US" w:eastAsia="zh-CN"/>
              </w:rPr>
              <w:t>项目评审过程中，不得去掉最后报价中的最高报价和最低报价。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538" w:type="dxa"/>
            <w:vMerge w:val="restart"/>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技术部分</w:t>
            </w:r>
          </w:p>
          <w:p>
            <w:pPr>
              <w:keepNext w:val="0"/>
              <w:keepLines w:val="0"/>
              <w:suppressLineNumbers w:val="0"/>
              <w:spacing w:before="0" w:beforeAutospacing="0" w:after="0" w:afterAutospacing="0" w:line="200" w:lineRule="atLeast"/>
              <w:ind w:left="134" w:right="0"/>
              <w:jc w:val="center"/>
              <w:rPr>
                <w:rFonts w:hint="default"/>
                <w:color w:val="auto"/>
                <w:szCs w:val="20"/>
                <w:highlight w:val="none"/>
                <w:lang w:val="en-US" w:eastAsia="zh-CN"/>
              </w:rPr>
            </w:pPr>
            <w:r>
              <w:rPr>
                <w:rFonts w:hint="eastAsia" w:ascii="宋体" w:hAnsi="宋体" w:eastAsia="宋体" w:cs="宋体"/>
                <w:color w:val="auto"/>
                <w:sz w:val="28"/>
                <w:szCs w:val="28"/>
                <w:highlight w:val="none"/>
                <w:lang w:val="en-US" w:eastAsia="zh-CN"/>
              </w:rPr>
              <w:t>（</w:t>
            </w:r>
            <w:r>
              <w:rPr>
                <w:rFonts w:hint="eastAsia" w:ascii="宋体" w:hAnsi="宋体" w:cs="宋体"/>
                <w:color w:val="auto"/>
                <w:sz w:val="28"/>
                <w:szCs w:val="28"/>
                <w:highlight w:val="none"/>
                <w:lang w:val="en-US" w:eastAsia="zh-CN"/>
              </w:rPr>
              <w:t>48</w:t>
            </w:r>
            <w:r>
              <w:rPr>
                <w:rFonts w:hint="eastAsia" w:ascii="宋体" w:hAnsi="宋体" w:eastAsia="宋体" w:cs="宋体"/>
                <w:color w:val="auto"/>
                <w:sz w:val="28"/>
                <w:szCs w:val="28"/>
                <w:highlight w:val="none"/>
                <w:lang w:val="en-US" w:eastAsia="zh-CN"/>
              </w:rPr>
              <w:t>分）</w:t>
            </w:r>
          </w:p>
        </w:tc>
        <w:tc>
          <w:tcPr>
            <w:tcW w:w="1957"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施工方案与技术措施</w:t>
            </w:r>
          </w:p>
          <w:p>
            <w:pPr>
              <w:keepNext w:val="0"/>
              <w:keepLines w:val="0"/>
              <w:suppressLineNumbers w:val="0"/>
              <w:spacing w:before="0" w:beforeAutospacing="0" w:after="0" w:afterAutospacing="0" w:line="400" w:lineRule="exact"/>
              <w:ind w:left="0" w:right="0"/>
              <w:jc w:val="center"/>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①施工方案与技术措施具体、详细，能完全满足项目需求得1</w:t>
            </w:r>
            <w:r>
              <w:rPr>
                <w:rFonts w:hint="eastAsia" w:ascii="宋体" w:hAnsi="宋体" w:cs="Arial Unicode MS"/>
                <w:bCs/>
                <w:color w:val="auto"/>
                <w:sz w:val="28"/>
                <w:szCs w:val="28"/>
                <w:highlight w:val="none"/>
                <w:lang w:val="en-US" w:eastAsia="zh-CN"/>
              </w:rPr>
              <w:t>8</w:t>
            </w:r>
            <w:r>
              <w:rPr>
                <w:rFonts w:hint="eastAsia" w:ascii="宋体" w:hAnsi="宋体" w:eastAsia="宋体" w:cs="Arial Unicode MS"/>
                <w:bCs/>
                <w:color w:val="auto"/>
                <w:sz w:val="28"/>
                <w:szCs w:val="28"/>
                <w:highlight w:val="none"/>
                <w:lang w:val="en-US" w:eastAsia="zh-CN"/>
              </w:rPr>
              <w:t>-</w:t>
            </w:r>
            <w:r>
              <w:rPr>
                <w:rFonts w:hint="eastAsia" w:ascii="宋体" w:hAnsi="宋体" w:cs="Arial Unicode MS"/>
                <w:bCs/>
                <w:color w:val="auto"/>
                <w:sz w:val="28"/>
                <w:szCs w:val="28"/>
                <w:highlight w:val="none"/>
                <w:lang w:val="en-US" w:eastAsia="zh-CN"/>
              </w:rPr>
              <w:t>16</w:t>
            </w:r>
            <w:r>
              <w:rPr>
                <w:rFonts w:hint="eastAsia" w:ascii="宋体" w:hAnsi="宋体" w:eastAsia="宋体" w:cs="Arial Unicode MS"/>
                <w:bCs/>
                <w:color w:val="auto"/>
                <w:sz w:val="28"/>
                <w:szCs w:val="28"/>
                <w:highlight w:val="none"/>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②施工方案与技术措施比较具体、比较详细，较好满足项目需求得</w:t>
            </w:r>
            <w:r>
              <w:rPr>
                <w:rFonts w:hint="eastAsia" w:ascii="宋体" w:hAnsi="宋体" w:cs="Arial Unicode MS"/>
                <w:bCs/>
                <w:color w:val="auto"/>
                <w:sz w:val="28"/>
                <w:szCs w:val="28"/>
                <w:highlight w:val="none"/>
                <w:lang w:val="en-US" w:eastAsia="zh-CN"/>
              </w:rPr>
              <w:t>15</w:t>
            </w:r>
            <w:r>
              <w:rPr>
                <w:rFonts w:hint="eastAsia" w:ascii="宋体" w:hAnsi="宋体" w:eastAsia="宋体" w:cs="Arial Unicode MS"/>
                <w:bCs/>
                <w:color w:val="auto"/>
                <w:sz w:val="28"/>
                <w:szCs w:val="28"/>
                <w:highlight w:val="none"/>
                <w:lang w:val="en-US" w:eastAsia="zh-CN"/>
              </w:rPr>
              <w:t>-</w:t>
            </w:r>
            <w:r>
              <w:rPr>
                <w:rFonts w:hint="eastAsia" w:ascii="宋体" w:hAnsi="宋体" w:cs="Arial Unicode MS"/>
                <w:bCs/>
                <w:color w:val="auto"/>
                <w:sz w:val="28"/>
                <w:szCs w:val="28"/>
                <w:highlight w:val="none"/>
                <w:lang w:val="en-US" w:eastAsia="zh-CN"/>
              </w:rPr>
              <w:t>11</w:t>
            </w:r>
            <w:r>
              <w:rPr>
                <w:rFonts w:hint="eastAsia" w:ascii="宋体" w:hAnsi="宋体" w:eastAsia="宋体" w:cs="Arial Unicode MS"/>
                <w:bCs/>
                <w:color w:val="auto"/>
                <w:sz w:val="28"/>
                <w:szCs w:val="28"/>
                <w:highlight w:val="none"/>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③施工方案与技术措施基本具体、基本详细，基本满足项目需求得</w:t>
            </w:r>
            <w:r>
              <w:rPr>
                <w:rFonts w:hint="eastAsia" w:ascii="宋体" w:hAnsi="宋体" w:cs="Arial Unicode MS"/>
                <w:bCs/>
                <w:color w:val="auto"/>
                <w:sz w:val="28"/>
                <w:szCs w:val="28"/>
                <w:highlight w:val="none"/>
                <w:lang w:val="en-US" w:eastAsia="zh-CN"/>
              </w:rPr>
              <w:t>10</w:t>
            </w:r>
            <w:r>
              <w:rPr>
                <w:rFonts w:hint="eastAsia" w:ascii="宋体" w:hAnsi="宋体" w:eastAsia="宋体" w:cs="Arial Unicode MS"/>
                <w:bCs/>
                <w:color w:val="auto"/>
                <w:sz w:val="28"/>
                <w:szCs w:val="28"/>
                <w:highlight w:val="none"/>
                <w:lang w:val="en-US" w:eastAsia="zh-CN"/>
              </w:rPr>
              <w:t>-</w:t>
            </w:r>
            <w:r>
              <w:rPr>
                <w:rFonts w:hint="eastAsia" w:ascii="宋体" w:hAnsi="宋体" w:cs="Arial Unicode MS"/>
                <w:bCs/>
                <w:color w:val="auto"/>
                <w:sz w:val="28"/>
                <w:szCs w:val="28"/>
                <w:highlight w:val="none"/>
                <w:lang w:val="en-US" w:eastAsia="zh-CN"/>
              </w:rPr>
              <w:t>6</w:t>
            </w:r>
            <w:r>
              <w:rPr>
                <w:rFonts w:hint="eastAsia" w:ascii="宋体" w:hAnsi="宋体" w:eastAsia="宋体" w:cs="Arial Unicode MS"/>
                <w:bCs/>
                <w:color w:val="auto"/>
                <w:sz w:val="28"/>
                <w:szCs w:val="28"/>
                <w:highlight w:val="none"/>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④施工方案与技术措施不具体、不详细得</w:t>
            </w:r>
            <w:r>
              <w:rPr>
                <w:rFonts w:hint="eastAsia" w:ascii="宋体" w:hAnsi="宋体" w:cs="Arial Unicode MS"/>
                <w:bCs/>
                <w:color w:val="auto"/>
                <w:sz w:val="28"/>
                <w:szCs w:val="28"/>
                <w:highlight w:val="none"/>
                <w:lang w:val="en-US" w:eastAsia="zh-CN"/>
              </w:rPr>
              <w:t>5</w:t>
            </w:r>
            <w:r>
              <w:rPr>
                <w:rFonts w:hint="eastAsia" w:ascii="宋体" w:hAnsi="宋体" w:eastAsia="宋体" w:cs="Arial Unicode MS"/>
                <w:bCs/>
                <w:color w:val="auto"/>
                <w:sz w:val="28"/>
                <w:szCs w:val="28"/>
                <w:highlight w:val="none"/>
                <w:lang w:val="en-US" w:eastAsia="zh-CN"/>
              </w:rPr>
              <w:t>-1分；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⑤施工方案与技术措施未提供得0分。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1538" w:type="dxa"/>
            <w:vMerge w:val="continue"/>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cs="宋体"/>
                <w:color w:val="auto"/>
                <w:sz w:val="28"/>
                <w:szCs w:val="28"/>
                <w:highlight w:val="none"/>
              </w:rPr>
            </w:pPr>
          </w:p>
        </w:tc>
        <w:tc>
          <w:tcPr>
            <w:tcW w:w="1957"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质量管理体系与措施、安全管理体系与措施、环境保护管理体系与措施</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15</w:t>
            </w:r>
            <w:r>
              <w:rPr>
                <w:rFonts w:hint="eastAsia" w:ascii="宋体" w:hAnsi="宋体" w:eastAsia="宋体" w:cs="宋体"/>
                <w:color w:val="auto"/>
                <w:sz w:val="28"/>
                <w:szCs w:val="28"/>
                <w:highlight w:val="none"/>
              </w:rPr>
              <w:t>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①质量管理体系与措施、安全管理体系与措施、环境保护管理体系与措施具体、详细，能完全满足项目需求得</w:t>
            </w:r>
            <w:r>
              <w:rPr>
                <w:rFonts w:hint="eastAsia" w:ascii="宋体" w:hAnsi="宋体" w:cs="Arial Unicode MS"/>
                <w:bCs/>
                <w:color w:val="auto"/>
                <w:sz w:val="28"/>
                <w:szCs w:val="28"/>
                <w:highlight w:val="none"/>
                <w:lang w:val="en-US" w:eastAsia="zh-CN"/>
              </w:rPr>
              <w:t>15</w:t>
            </w:r>
            <w:r>
              <w:rPr>
                <w:rFonts w:hint="eastAsia" w:ascii="宋体" w:hAnsi="宋体" w:eastAsia="宋体" w:cs="Arial Unicode MS"/>
                <w:bCs/>
                <w:color w:val="auto"/>
                <w:sz w:val="28"/>
                <w:szCs w:val="28"/>
                <w:highlight w:val="none"/>
                <w:lang w:val="en-US" w:eastAsia="zh-CN"/>
              </w:rPr>
              <w:t>-</w:t>
            </w:r>
            <w:r>
              <w:rPr>
                <w:rFonts w:hint="eastAsia" w:ascii="宋体" w:hAnsi="宋体" w:cs="Arial Unicode MS"/>
                <w:bCs/>
                <w:color w:val="auto"/>
                <w:sz w:val="28"/>
                <w:szCs w:val="28"/>
                <w:highlight w:val="none"/>
                <w:lang w:val="en-US" w:eastAsia="zh-CN"/>
              </w:rPr>
              <w:t>12</w:t>
            </w:r>
            <w:r>
              <w:rPr>
                <w:rFonts w:hint="eastAsia" w:ascii="宋体" w:hAnsi="宋体" w:eastAsia="宋体" w:cs="Arial Unicode MS"/>
                <w:bCs/>
                <w:color w:val="auto"/>
                <w:sz w:val="28"/>
                <w:szCs w:val="28"/>
                <w:highlight w:val="none"/>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②质量管理体系与措施、安全管理体系与措施、环境保护管理体系与措施比较具体、比较详细，较好满足项目需求得</w:t>
            </w:r>
            <w:r>
              <w:rPr>
                <w:rFonts w:hint="eastAsia" w:ascii="宋体" w:hAnsi="宋体" w:cs="Arial Unicode MS"/>
                <w:bCs/>
                <w:color w:val="auto"/>
                <w:sz w:val="28"/>
                <w:szCs w:val="28"/>
                <w:highlight w:val="none"/>
                <w:lang w:val="en-US" w:eastAsia="zh-CN"/>
              </w:rPr>
              <w:t>11</w:t>
            </w:r>
            <w:r>
              <w:rPr>
                <w:rFonts w:hint="eastAsia" w:ascii="宋体" w:hAnsi="宋体" w:eastAsia="宋体" w:cs="Arial Unicode MS"/>
                <w:bCs/>
                <w:color w:val="auto"/>
                <w:sz w:val="28"/>
                <w:szCs w:val="28"/>
                <w:highlight w:val="none"/>
                <w:lang w:val="en-US" w:eastAsia="zh-CN"/>
              </w:rPr>
              <w:t>-</w:t>
            </w:r>
            <w:r>
              <w:rPr>
                <w:rFonts w:hint="eastAsia" w:ascii="宋体" w:hAnsi="宋体" w:cs="Arial Unicode MS"/>
                <w:bCs/>
                <w:color w:val="auto"/>
                <w:sz w:val="28"/>
                <w:szCs w:val="28"/>
                <w:highlight w:val="none"/>
                <w:lang w:val="en-US" w:eastAsia="zh-CN"/>
              </w:rPr>
              <w:t>8</w:t>
            </w:r>
            <w:r>
              <w:rPr>
                <w:rFonts w:hint="eastAsia" w:ascii="宋体" w:hAnsi="宋体" w:eastAsia="宋体" w:cs="Arial Unicode MS"/>
                <w:bCs/>
                <w:color w:val="auto"/>
                <w:sz w:val="28"/>
                <w:szCs w:val="28"/>
                <w:highlight w:val="none"/>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③质量管理体系与措施、安全管理体系与措施、环境保护管理体系与措施基本具体、基本详细，基本满足项目需求得</w:t>
            </w:r>
            <w:r>
              <w:rPr>
                <w:rFonts w:hint="eastAsia" w:ascii="宋体" w:hAnsi="宋体" w:cs="Arial Unicode MS"/>
                <w:bCs/>
                <w:color w:val="auto"/>
                <w:sz w:val="28"/>
                <w:szCs w:val="28"/>
                <w:highlight w:val="none"/>
                <w:lang w:val="en-US" w:eastAsia="zh-CN"/>
              </w:rPr>
              <w:t>7</w:t>
            </w:r>
            <w:r>
              <w:rPr>
                <w:rFonts w:hint="eastAsia" w:ascii="宋体" w:hAnsi="宋体" w:eastAsia="宋体" w:cs="Arial Unicode MS"/>
                <w:bCs/>
                <w:color w:val="auto"/>
                <w:sz w:val="28"/>
                <w:szCs w:val="28"/>
                <w:highlight w:val="none"/>
                <w:lang w:val="en-US" w:eastAsia="zh-CN"/>
              </w:rPr>
              <w:t>-</w:t>
            </w:r>
            <w:r>
              <w:rPr>
                <w:rFonts w:hint="eastAsia" w:ascii="宋体" w:hAnsi="宋体" w:cs="Arial Unicode MS"/>
                <w:bCs/>
                <w:color w:val="auto"/>
                <w:sz w:val="28"/>
                <w:szCs w:val="28"/>
                <w:highlight w:val="none"/>
                <w:lang w:val="en-US" w:eastAsia="zh-CN"/>
              </w:rPr>
              <w:t>4</w:t>
            </w:r>
            <w:r>
              <w:rPr>
                <w:rFonts w:hint="eastAsia" w:ascii="宋体" w:hAnsi="宋体" w:eastAsia="宋体" w:cs="Arial Unicode MS"/>
                <w:bCs/>
                <w:color w:val="auto"/>
                <w:sz w:val="28"/>
                <w:szCs w:val="28"/>
                <w:highlight w:val="none"/>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④质量管理体系与措施、安全管理体系与措施、环境保护管理体系与措施不具体、不详细得</w:t>
            </w:r>
            <w:r>
              <w:rPr>
                <w:rFonts w:hint="eastAsia" w:ascii="宋体" w:hAnsi="宋体" w:cs="Arial Unicode MS"/>
                <w:bCs/>
                <w:color w:val="auto"/>
                <w:sz w:val="28"/>
                <w:szCs w:val="28"/>
                <w:highlight w:val="none"/>
                <w:lang w:val="en-US" w:eastAsia="zh-CN"/>
              </w:rPr>
              <w:t>3</w:t>
            </w:r>
            <w:r>
              <w:rPr>
                <w:rFonts w:hint="eastAsia" w:ascii="宋体" w:hAnsi="宋体" w:eastAsia="宋体" w:cs="Arial Unicode MS"/>
                <w:bCs/>
                <w:color w:val="auto"/>
                <w:sz w:val="28"/>
                <w:szCs w:val="28"/>
                <w:highlight w:val="none"/>
                <w:lang w:val="en-US" w:eastAsia="zh-CN"/>
              </w:rPr>
              <w:t>-</w:t>
            </w:r>
            <w:r>
              <w:rPr>
                <w:rFonts w:hint="eastAsia" w:ascii="宋体" w:hAnsi="宋体" w:cs="Arial Unicode MS"/>
                <w:bCs/>
                <w:color w:val="auto"/>
                <w:sz w:val="28"/>
                <w:szCs w:val="28"/>
                <w:highlight w:val="none"/>
                <w:lang w:val="en-US" w:eastAsia="zh-CN"/>
              </w:rPr>
              <w:t>1</w:t>
            </w:r>
            <w:r>
              <w:rPr>
                <w:rFonts w:hint="eastAsia" w:ascii="宋体" w:hAnsi="宋体" w:eastAsia="宋体" w:cs="Arial Unicode MS"/>
                <w:bCs/>
                <w:color w:val="auto"/>
                <w:sz w:val="28"/>
                <w:szCs w:val="28"/>
                <w:highlight w:val="none"/>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⑤质量管理体系与措施、安全管理体系与措施、环境保护管理体系与措施未提供得0分。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1538" w:type="dxa"/>
            <w:vMerge w:val="continue"/>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cs="宋体"/>
                <w:color w:val="auto"/>
                <w:sz w:val="28"/>
                <w:szCs w:val="28"/>
                <w:highlight w:val="none"/>
              </w:rPr>
            </w:pPr>
          </w:p>
        </w:tc>
        <w:tc>
          <w:tcPr>
            <w:tcW w:w="1957"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工程进度计划与措施</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①工程进度计划与措施具体、详细，能完全满足项目需求得</w:t>
            </w:r>
            <w:r>
              <w:rPr>
                <w:rFonts w:hint="eastAsia" w:ascii="宋体" w:hAnsi="宋体" w:cs="Arial Unicode MS"/>
                <w:bCs/>
                <w:color w:val="auto"/>
                <w:sz w:val="28"/>
                <w:szCs w:val="28"/>
                <w:highlight w:val="none"/>
                <w:lang w:val="en-US" w:eastAsia="zh-CN"/>
              </w:rPr>
              <w:t>10-8</w:t>
            </w:r>
            <w:r>
              <w:rPr>
                <w:rFonts w:hint="eastAsia" w:ascii="宋体" w:hAnsi="宋体" w:eastAsia="宋体" w:cs="Arial Unicode MS"/>
                <w:bCs/>
                <w:color w:val="auto"/>
                <w:sz w:val="28"/>
                <w:szCs w:val="28"/>
                <w:highlight w:val="none"/>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②工程进度计划与措施比较具体、比较详细，较好满足项目需求得</w:t>
            </w:r>
            <w:r>
              <w:rPr>
                <w:rFonts w:hint="eastAsia" w:ascii="宋体" w:hAnsi="宋体" w:cs="Arial Unicode MS"/>
                <w:bCs/>
                <w:color w:val="auto"/>
                <w:sz w:val="28"/>
                <w:szCs w:val="28"/>
                <w:highlight w:val="none"/>
                <w:lang w:val="en-US" w:eastAsia="zh-CN"/>
              </w:rPr>
              <w:t>7-5</w:t>
            </w:r>
            <w:r>
              <w:rPr>
                <w:rFonts w:hint="eastAsia" w:ascii="宋体" w:hAnsi="宋体" w:eastAsia="宋体" w:cs="Arial Unicode MS"/>
                <w:bCs/>
                <w:color w:val="auto"/>
                <w:sz w:val="28"/>
                <w:szCs w:val="28"/>
                <w:highlight w:val="none"/>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③工程进度计划与措施基本具体、基本详细，基本满足项目需求得</w:t>
            </w:r>
            <w:r>
              <w:rPr>
                <w:rFonts w:hint="eastAsia" w:ascii="宋体" w:hAnsi="宋体" w:cs="Arial Unicode MS"/>
                <w:bCs/>
                <w:color w:val="auto"/>
                <w:sz w:val="28"/>
                <w:szCs w:val="28"/>
                <w:highlight w:val="none"/>
                <w:lang w:val="en-US" w:eastAsia="zh-CN"/>
              </w:rPr>
              <w:t>4-</w:t>
            </w:r>
            <w:r>
              <w:rPr>
                <w:rFonts w:hint="eastAsia" w:ascii="宋体" w:hAnsi="宋体" w:eastAsia="宋体" w:cs="Arial Unicode MS"/>
                <w:bCs/>
                <w:color w:val="auto"/>
                <w:sz w:val="28"/>
                <w:szCs w:val="28"/>
                <w:highlight w:val="none"/>
                <w:lang w:val="en-US" w:eastAsia="zh-CN"/>
              </w:rPr>
              <w:t>3分；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④工程进度计划与措施不具体、不详细得</w:t>
            </w:r>
            <w:r>
              <w:rPr>
                <w:rFonts w:hint="eastAsia" w:ascii="宋体" w:hAnsi="宋体" w:cs="Arial Unicode MS"/>
                <w:bCs/>
                <w:color w:val="auto"/>
                <w:sz w:val="28"/>
                <w:szCs w:val="28"/>
                <w:highlight w:val="none"/>
                <w:lang w:val="en-US" w:eastAsia="zh-CN"/>
              </w:rPr>
              <w:t>2-1</w:t>
            </w:r>
            <w:r>
              <w:rPr>
                <w:rFonts w:hint="eastAsia" w:ascii="宋体" w:hAnsi="宋体" w:eastAsia="宋体" w:cs="Arial Unicode MS"/>
                <w:bCs/>
                <w:color w:val="auto"/>
                <w:sz w:val="28"/>
                <w:szCs w:val="28"/>
                <w:highlight w:val="none"/>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⑤工程进度计划与措施未提供得0分。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538" w:type="dxa"/>
            <w:vMerge w:val="continue"/>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cs="宋体"/>
                <w:color w:val="auto"/>
                <w:sz w:val="28"/>
                <w:szCs w:val="28"/>
                <w:highlight w:val="none"/>
              </w:rPr>
            </w:pPr>
          </w:p>
        </w:tc>
        <w:tc>
          <w:tcPr>
            <w:tcW w:w="1957"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资源配备计划</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①资源配备计划具体、详细，能完全满足项目需求得5分；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②资源配备计划比较具体、比较详细，较好满足项目需求得4分；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③资源配备计划基本具体、基本详细，基本满足项目需求得3分；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④资源配备计划不具体、不详细得1分；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⑤资源配备计划未提供得0分。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1538" w:type="dxa"/>
            <w:vMerge w:val="restart"/>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134" w:right="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商务部分</w:t>
            </w:r>
          </w:p>
          <w:p>
            <w:pPr>
              <w:keepNext w:val="0"/>
              <w:keepLines w:val="0"/>
              <w:suppressLineNumbers w:val="0"/>
              <w:spacing w:before="0" w:beforeAutospacing="0" w:after="0" w:afterAutospacing="0" w:line="200" w:lineRule="atLeast"/>
              <w:ind w:left="134" w:right="0"/>
              <w:jc w:val="center"/>
              <w:rPr>
                <w:rFonts w:hint="default"/>
                <w:color w:val="auto"/>
                <w:szCs w:val="20"/>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分）</w:t>
            </w:r>
          </w:p>
        </w:tc>
        <w:tc>
          <w:tcPr>
            <w:tcW w:w="1957"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投标人项目管理机构配备、人员岗位职责分工</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分）</w:t>
            </w:r>
          </w:p>
        </w:tc>
        <w:tc>
          <w:tcPr>
            <w:tcW w:w="6326" w:type="dxa"/>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①项目管理机构配备、人员岗位职责分工具体、详细，能完全满足项目需求得</w:t>
            </w:r>
            <w:r>
              <w:rPr>
                <w:rFonts w:hint="eastAsia" w:ascii="宋体" w:hAnsi="宋体" w:cs="Arial Unicode MS"/>
                <w:bCs/>
                <w:color w:val="auto"/>
                <w:sz w:val="28"/>
                <w:szCs w:val="28"/>
                <w:highlight w:val="none"/>
                <w:lang w:val="en-US" w:eastAsia="zh-CN"/>
              </w:rPr>
              <w:t>8</w:t>
            </w:r>
            <w:r>
              <w:rPr>
                <w:rFonts w:hint="eastAsia" w:ascii="宋体" w:hAnsi="宋体" w:eastAsia="宋体" w:cs="Arial Unicode MS"/>
                <w:bCs/>
                <w:color w:val="auto"/>
                <w:sz w:val="28"/>
                <w:szCs w:val="28"/>
                <w:highlight w:val="none"/>
                <w:lang w:val="en-US" w:eastAsia="zh-CN"/>
              </w:rPr>
              <w:t>-</w:t>
            </w:r>
            <w:r>
              <w:rPr>
                <w:rFonts w:hint="eastAsia" w:ascii="宋体" w:hAnsi="宋体" w:cs="Arial Unicode MS"/>
                <w:bCs/>
                <w:color w:val="auto"/>
                <w:sz w:val="28"/>
                <w:szCs w:val="28"/>
                <w:highlight w:val="none"/>
                <w:lang w:val="en-US" w:eastAsia="zh-CN"/>
              </w:rPr>
              <w:t>7</w:t>
            </w:r>
            <w:r>
              <w:rPr>
                <w:rFonts w:hint="eastAsia" w:ascii="宋体" w:hAnsi="宋体" w:eastAsia="宋体" w:cs="Arial Unicode MS"/>
                <w:bCs/>
                <w:color w:val="auto"/>
                <w:sz w:val="28"/>
                <w:szCs w:val="28"/>
                <w:highlight w:val="none"/>
                <w:lang w:val="en-US" w:eastAsia="zh-CN"/>
              </w:rPr>
              <w:t>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②项目管理机构配备、人员岗位职责分工比较具体、比较详细，较好满足项目需求得</w:t>
            </w:r>
            <w:r>
              <w:rPr>
                <w:rFonts w:hint="eastAsia" w:ascii="宋体" w:hAnsi="宋体" w:cs="Arial Unicode MS"/>
                <w:bCs/>
                <w:color w:val="auto"/>
                <w:sz w:val="28"/>
                <w:szCs w:val="28"/>
                <w:highlight w:val="none"/>
                <w:lang w:val="en-US" w:eastAsia="zh-CN"/>
              </w:rPr>
              <w:t>6</w:t>
            </w:r>
            <w:r>
              <w:rPr>
                <w:rFonts w:hint="eastAsia" w:ascii="宋体" w:hAnsi="宋体" w:eastAsia="宋体" w:cs="Arial Unicode MS"/>
                <w:bCs/>
                <w:color w:val="auto"/>
                <w:sz w:val="28"/>
                <w:szCs w:val="28"/>
                <w:highlight w:val="none"/>
                <w:lang w:val="en-US" w:eastAsia="zh-CN"/>
              </w:rPr>
              <w:t>-5分；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③项目管理机构配备、人员岗位职责分工基本具体、基本详细，基本满足项目需求得4-3分；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④项目管理机构配备、人员岗位职责分工不具体、不详细得2-1分；</w:t>
            </w:r>
          </w:p>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⑤项目管理机构配备、人员岗位职责分工未提供得0分。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1538" w:type="dxa"/>
            <w:vMerge w:val="continue"/>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default" w:ascii="宋体" w:cs="宋体"/>
                <w:color w:val="auto"/>
                <w:sz w:val="28"/>
                <w:szCs w:val="28"/>
                <w:highlight w:val="none"/>
              </w:rPr>
            </w:pPr>
          </w:p>
        </w:tc>
        <w:tc>
          <w:tcPr>
            <w:tcW w:w="1957" w:type="dxa"/>
            <w:tcBorders>
              <w:bottom w:val="single" w:color="auto" w:sz="4" w:space="0"/>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业绩</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分</w:t>
            </w:r>
            <w:r>
              <w:rPr>
                <w:rFonts w:hint="eastAsia" w:ascii="宋体" w:hAnsi="宋体" w:eastAsia="宋体" w:cs="宋体"/>
                <w:color w:val="auto"/>
                <w:sz w:val="28"/>
                <w:szCs w:val="28"/>
                <w:highlight w:val="none"/>
                <w:lang w:eastAsia="zh-CN"/>
              </w:rPr>
              <w:t>）</w:t>
            </w:r>
          </w:p>
        </w:tc>
        <w:tc>
          <w:tcPr>
            <w:tcW w:w="6326" w:type="dxa"/>
            <w:tcBorders>
              <w:bottom w:val="single" w:color="auto" w:sz="4" w:space="0"/>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eastAsia" w:ascii="宋体" w:hAnsi="宋体" w:eastAsia="宋体" w:cs="Arial Unicode MS"/>
                <w:bCs/>
                <w:color w:val="auto"/>
                <w:sz w:val="28"/>
                <w:szCs w:val="28"/>
                <w:highlight w:val="none"/>
                <w:lang w:val="en-US" w:eastAsia="zh-CN"/>
              </w:rPr>
            </w:pPr>
            <w:r>
              <w:rPr>
                <w:rFonts w:hint="eastAsia" w:ascii="宋体" w:hAnsi="宋体" w:eastAsia="宋体" w:cs="Arial Unicode MS"/>
                <w:bCs/>
                <w:color w:val="auto"/>
                <w:sz w:val="28"/>
                <w:szCs w:val="28"/>
                <w:highlight w:val="none"/>
                <w:lang w:val="en-US" w:eastAsia="zh-CN"/>
              </w:rPr>
              <w:t>提供投标单位自 2018 年 1 月 1 日以来（以合同签订日期为准）类似工程项目业绩，每个项目得 2分，最多得</w:t>
            </w:r>
            <w:r>
              <w:rPr>
                <w:rFonts w:hint="eastAsia" w:ascii="宋体" w:hAnsi="宋体" w:cs="Arial Unicode MS"/>
                <w:bCs/>
                <w:color w:val="auto"/>
                <w:sz w:val="28"/>
                <w:szCs w:val="28"/>
                <w:highlight w:val="none"/>
                <w:lang w:val="en-US" w:eastAsia="zh-CN"/>
              </w:rPr>
              <w:t>8</w:t>
            </w:r>
            <w:r>
              <w:rPr>
                <w:rFonts w:hint="eastAsia" w:ascii="宋体" w:hAnsi="宋体" w:eastAsia="宋体" w:cs="Arial Unicode MS"/>
                <w:bCs/>
                <w:color w:val="auto"/>
                <w:sz w:val="28"/>
                <w:szCs w:val="28"/>
                <w:highlight w:val="none"/>
                <w:lang w:val="en-US" w:eastAsia="zh-CN"/>
              </w:rPr>
              <w:t>分。</w:t>
            </w:r>
            <w:r>
              <w:rPr>
                <w:rFonts w:hint="eastAsia" w:ascii="宋体" w:hAnsi="宋体" w:eastAsia="宋体" w:cs="Arial Unicode MS"/>
                <w:b/>
                <w:bCs w:val="0"/>
                <w:color w:val="auto"/>
                <w:sz w:val="28"/>
                <w:szCs w:val="28"/>
                <w:highlight w:val="none"/>
                <w:lang w:val="en-US" w:eastAsia="zh-CN"/>
              </w:rPr>
              <w:t>需提供合同原件，并将与原件一致的复印件加盖公章附在响应文件中，否则不得分。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2" w:hRule="atLeast"/>
        </w:trPr>
        <w:tc>
          <w:tcPr>
            <w:tcW w:w="1538" w:type="dxa"/>
            <w:vMerge w:val="continue"/>
            <w:tcBorders>
              <w:tl2br w:val="nil"/>
              <w:tr2bl w:val="nil"/>
            </w:tcBorders>
            <w:shd w:val="clear" w:color="000000" w:fill="FFFFFF"/>
            <w:noWrap w:val="0"/>
            <w:tcMar>
              <w:left w:w="108" w:type="dxa"/>
              <w:right w:w="108" w:type="dxa"/>
            </w:tcMar>
            <w:vAlign w:val="center"/>
          </w:tcPr>
          <w:p>
            <w:pPr>
              <w:keepNext w:val="0"/>
              <w:keepLines w:val="0"/>
              <w:suppressLineNumbers w:val="0"/>
              <w:spacing w:before="0" w:beforeAutospacing="0" w:after="0" w:afterAutospacing="0" w:line="200" w:lineRule="atLeast"/>
              <w:ind w:left="0" w:right="0"/>
              <w:rPr>
                <w:rFonts w:hint="default" w:ascii="宋体" w:cs="宋体"/>
                <w:color w:val="auto"/>
                <w:sz w:val="28"/>
                <w:szCs w:val="28"/>
                <w:highlight w:val="none"/>
              </w:rPr>
            </w:pPr>
          </w:p>
        </w:tc>
        <w:tc>
          <w:tcPr>
            <w:tcW w:w="1957" w:type="dxa"/>
            <w:tcBorders>
              <w:top w:val="single" w:color="auto" w:sz="4" w:space="0"/>
              <w:tl2br w:val="nil"/>
              <w:tr2bl w:val="nil"/>
            </w:tcBorders>
            <w:shd w:val="clear" w:color="000000" w:fill="FFFFFF"/>
            <w:noWrap w:val="0"/>
            <w:tcMar>
              <w:left w:w="108" w:type="dxa"/>
              <w:right w:w="108" w:type="dxa"/>
            </w:tcMar>
            <w:vAlign w:val="center"/>
          </w:tcPr>
          <w:p>
            <w:pPr>
              <w:pStyle w:val="2"/>
              <w:rPr>
                <w:rFonts w:hint="eastAsia" w:ascii="宋体" w:hAnsi="宋体" w:eastAsia="宋体" w:cs="宋体"/>
                <w:color w:val="auto"/>
                <w:kern w:val="2"/>
                <w:sz w:val="28"/>
                <w:szCs w:val="28"/>
                <w:highlight w:val="none"/>
                <w:lang w:val="en-US" w:eastAsia="zh-CN" w:bidi="ar-SA"/>
              </w:rPr>
            </w:pPr>
          </w:p>
          <w:p>
            <w:pPr>
              <w:pStyle w:val="2"/>
              <w:rPr>
                <w:rFonts w:hint="eastAsia" w:ascii="宋体" w:hAnsi="宋体" w:eastAsia="宋体" w:cs="宋体"/>
                <w:color w:val="auto"/>
                <w:kern w:val="2"/>
                <w:sz w:val="28"/>
                <w:szCs w:val="28"/>
                <w:highlight w:val="none"/>
                <w:lang w:val="en-US" w:eastAsia="zh-CN" w:bidi="ar-SA"/>
              </w:rPr>
            </w:pPr>
          </w:p>
          <w:p>
            <w:pPr>
              <w:pStyle w:val="2"/>
              <w:rPr>
                <w:rFonts w:hint="eastAsia" w:ascii="宋体" w:hAnsi="宋体" w:eastAsia="宋体" w:cs="宋体"/>
                <w:color w:val="auto"/>
                <w:kern w:val="2"/>
                <w:sz w:val="28"/>
                <w:szCs w:val="28"/>
                <w:highlight w:val="none"/>
                <w:lang w:val="en-US" w:eastAsia="zh-CN" w:bidi="ar-SA"/>
              </w:rPr>
            </w:pPr>
          </w:p>
          <w:p>
            <w:pPr>
              <w:pStyle w:val="2"/>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售后服务承诺</w:t>
            </w:r>
          </w:p>
          <w:p>
            <w:pPr>
              <w:pStyle w:val="2"/>
              <w:ind w:firstLine="280" w:firstLineChars="100"/>
              <w:rPr>
                <w:rFonts w:hint="default" w:ascii="宋体" w:hAnsi="宋体" w:eastAsia="宋体" w:cs="宋体"/>
                <w:color w:val="auto"/>
                <w:kern w:val="2"/>
                <w:sz w:val="28"/>
                <w:szCs w:val="28"/>
                <w:highlight w:val="none"/>
                <w:lang w:val="en-US" w:eastAsia="zh-CN" w:bidi="ar-SA"/>
              </w:rPr>
            </w:pPr>
            <w:r>
              <w:rPr>
                <w:rFonts w:hint="eastAsia" w:ascii="宋体" w:hAnsi="宋体" w:cs="宋体"/>
                <w:color w:val="auto"/>
                <w:kern w:val="2"/>
                <w:sz w:val="28"/>
                <w:szCs w:val="28"/>
                <w:highlight w:val="none"/>
                <w:lang w:val="en-US" w:eastAsia="zh-CN" w:bidi="ar-SA"/>
              </w:rPr>
              <w:t>（6</w:t>
            </w:r>
            <w:r>
              <w:rPr>
                <w:rFonts w:hint="eastAsia" w:ascii="宋体" w:hAnsi="宋体" w:eastAsia="宋体" w:cs="宋体"/>
                <w:color w:val="auto"/>
                <w:kern w:val="2"/>
                <w:sz w:val="28"/>
                <w:szCs w:val="28"/>
                <w:highlight w:val="none"/>
                <w:lang w:val="en-US" w:eastAsia="zh-CN" w:bidi="ar-SA"/>
              </w:rPr>
              <w:t>分</w:t>
            </w:r>
            <w:r>
              <w:rPr>
                <w:rFonts w:hint="eastAsia" w:ascii="宋体" w:hAnsi="宋体" w:cs="宋体"/>
                <w:color w:val="auto"/>
                <w:kern w:val="2"/>
                <w:sz w:val="28"/>
                <w:szCs w:val="28"/>
                <w:highlight w:val="none"/>
                <w:lang w:val="en-US" w:eastAsia="zh-CN" w:bidi="ar-SA"/>
              </w:rPr>
              <w:t>）</w:t>
            </w:r>
          </w:p>
        </w:tc>
        <w:tc>
          <w:tcPr>
            <w:tcW w:w="6326" w:type="dxa"/>
            <w:tcBorders>
              <w:top w:val="single" w:color="auto" w:sz="4" w:space="0"/>
              <w:tl2br w:val="nil"/>
              <w:tr2bl w:val="nil"/>
            </w:tcBorders>
            <w:shd w:val="clear" w:color="000000" w:fill="FFFFFF"/>
            <w:noWrap w:val="0"/>
            <w:tcMar>
              <w:left w:w="108" w:type="dxa"/>
              <w:right w:w="108" w:type="dxa"/>
            </w:tcMar>
            <w:vAlign w:val="center"/>
          </w:tcPr>
          <w:p>
            <w:pPr>
              <w:pStyle w:val="2"/>
              <w:numPr>
                <w:ilvl w:val="0"/>
                <w:numId w:val="0"/>
              </w:numPr>
              <w:rPr>
                <w:rFonts w:hint="default" w:ascii="宋体" w:hAnsi="宋体" w:eastAsia="宋体" w:cs="Arial Unicode MS"/>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①</w:t>
            </w:r>
            <w:r>
              <w:rPr>
                <w:rFonts w:hint="eastAsia" w:ascii="宋体" w:hAnsi="宋体" w:eastAsia="宋体" w:cs="Arial Unicode MS"/>
                <w:bCs/>
                <w:color w:val="auto"/>
                <w:kern w:val="2"/>
                <w:sz w:val="28"/>
                <w:szCs w:val="28"/>
                <w:highlight w:val="none"/>
                <w:lang w:val="en-US" w:eastAsia="zh-CN" w:bidi="ar-SA"/>
              </w:rPr>
              <w:t>YT保温系统在临沂市建筑节能产品备案证书/临沂市建设工业产品信用认定推荐证书（提供得2分，不提供得0分</w:t>
            </w:r>
            <w:r>
              <w:rPr>
                <w:rFonts w:hint="eastAsia" w:ascii="宋体" w:hAnsi="宋体" w:cs="Arial Unicode MS"/>
                <w:bCs/>
                <w:color w:val="auto"/>
                <w:kern w:val="2"/>
                <w:sz w:val="28"/>
                <w:szCs w:val="28"/>
                <w:highlight w:val="none"/>
                <w:lang w:val="en-US" w:eastAsia="zh-CN" w:bidi="ar-SA"/>
              </w:rPr>
              <w:t>）</w:t>
            </w:r>
            <w:r>
              <w:rPr>
                <w:rFonts w:hint="eastAsia" w:ascii="宋体" w:hAnsi="宋体" w:eastAsia="宋体" w:cs="Arial Unicode MS"/>
                <w:bCs/>
                <w:color w:val="auto"/>
                <w:kern w:val="2"/>
                <w:sz w:val="28"/>
                <w:szCs w:val="28"/>
                <w:highlight w:val="none"/>
                <w:lang w:val="en-US" w:eastAsia="zh-CN" w:bidi="ar-SA"/>
              </w:rPr>
              <w:t>；</w:t>
            </w:r>
          </w:p>
          <w:p>
            <w:pPr>
              <w:pStyle w:val="2"/>
              <w:numPr>
                <w:ilvl w:val="0"/>
                <w:numId w:val="0"/>
              </w:numPr>
              <w:rPr>
                <w:rFonts w:hint="eastAsia" w:ascii="宋体" w:hAnsi="宋体" w:eastAsia="宋体" w:cs="Arial Unicode MS"/>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②</w:t>
            </w:r>
            <w:r>
              <w:rPr>
                <w:rFonts w:hint="eastAsia" w:ascii="宋体" w:hAnsi="宋体" w:eastAsia="宋体" w:cs="Arial Unicode MS"/>
                <w:bCs/>
                <w:color w:val="auto"/>
                <w:kern w:val="2"/>
                <w:sz w:val="28"/>
                <w:szCs w:val="28"/>
                <w:highlight w:val="none"/>
                <w:lang w:val="en-US" w:eastAsia="zh-CN" w:bidi="ar-SA"/>
              </w:rPr>
              <w:t>YT保温材料成套系统产品生产厂家授权书（提供得2分、不提供得0分）；</w:t>
            </w:r>
          </w:p>
          <w:p>
            <w:pPr>
              <w:pStyle w:val="2"/>
              <w:numPr>
                <w:ilvl w:val="0"/>
                <w:numId w:val="0"/>
              </w:numPr>
              <w:rPr>
                <w:rFonts w:hint="default" w:ascii="宋体" w:hAnsi="宋体" w:eastAsia="宋体" w:cs="Arial Unicode MS"/>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③</w:t>
            </w:r>
            <w:r>
              <w:rPr>
                <w:rFonts w:hint="eastAsia" w:ascii="宋体" w:hAnsi="宋体" w:eastAsia="宋体" w:cs="Arial Unicode MS"/>
                <w:bCs/>
                <w:color w:val="auto"/>
                <w:kern w:val="2"/>
                <w:sz w:val="28"/>
                <w:szCs w:val="28"/>
                <w:highlight w:val="none"/>
                <w:lang w:val="en-US" w:eastAsia="zh-CN" w:bidi="ar-SA"/>
              </w:rPr>
              <w:t>提供公司质量及售后服务承诺书（提供得2分，不提供得0分</w:t>
            </w:r>
            <w:r>
              <w:rPr>
                <w:rFonts w:hint="eastAsia" w:ascii="宋体" w:hAnsi="宋体" w:cs="Arial Unicode MS"/>
                <w:bCs/>
                <w:color w:val="auto"/>
                <w:kern w:val="2"/>
                <w:sz w:val="28"/>
                <w:szCs w:val="28"/>
                <w:highlight w:val="none"/>
                <w:lang w:val="en-US" w:eastAsia="zh-CN" w:bidi="ar-SA"/>
              </w:rPr>
              <w:t>）</w:t>
            </w:r>
            <w:r>
              <w:rPr>
                <w:rFonts w:hint="eastAsia" w:ascii="宋体" w:hAnsi="宋体" w:eastAsia="宋体" w:cs="Arial Unicode MS"/>
                <w:bCs/>
                <w:color w:val="auto"/>
                <w:kern w:val="2"/>
                <w:sz w:val="28"/>
                <w:szCs w:val="28"/>
                <w:highlight w:val="none"/>
                <w:lang w:val="en-US" w:eastAsia="zh-CN" w:bidi="ar-SA"/>
              </w:rPr>
              <w:t>。</w:t>
            </w:r>
          </w:p>
        </w:tc>
      </w:tr>
    </w:tbl>
    <w:p>
      <w:pPr>
        <w:topLinePunct/>
        <w:spacing w:line="440" w:lineRule="exact"/>
        <w:rPr>
          <w:rFonts w:hint="eastAsia" w:ascii="宋体" w:hAnsi="宋体" w:cs="宋体"/>
          <w:b/>
          <w:bCs/>
          <w:color w:val="auto"/>
          <w:sz w:val="28"/>
          <w:szCs w:val="21"/>
          <w:highlight w:val="none"/>
        </w:rPr>
      </w:pPr>
    </w:p>
    <w:p>
      <w:pPr>
        <w:topLinePunct/>
        <w:spacing w:line="440" w:lineRule="exact"/>
        <w:rPr>
          <w:rFonts w:ascii="宋体" w:hAnsi="宋体" w:cs="宋体"/>
          <w:b/>
          <w:bCs/>
          <w:color w:val="auto"/>
          <w:sz w:val="28"/>
          <w:szCs w:val="21"/>
          <w:highlight w:val="none"/>
        </w:rPr>
      </w:pPr>
      <w:r>
        <w:rPr>
          <w:rFonts w:hint="eastAsia" w:ascii="宋体" w:hAnsi="宋体" w:cs="宋体"/>
          <w:b/>
          <w:bCs/>
          <w:color w:val="auto"/>
          <w:sz w:val="28"/>
          <w:szCs w:val="21"/>
          <w:highlight w:val="none"/>
        </w:rPr>
        <w:t>注：1、提供的原件需复印后胶装于响应文件中，需提供原件的证明资料须将原件单独提交，作为响应文件的组成部分。</w:t>
      </w:r>
    </w:p>
    <w:p>
      <w:pPr>
        <w:topLinePunct/>
        <w:spacing w:line="440" w:lineRule="exact"/>
        <w:rPr>
          <w:rFonts w:ascii="宋体" w:hAnsi="宋体" w:cs="宋体"/>
          <w:b/>
          <w:bCs/>
          <w:color w:val="auto"/>
          <w:sz w:val="28"/>
          <w:szCs w:val="21"/>
          <w:highlight w:val="none"/>
        </w:rPr>
      </w:pPr>
      <w:r>
        <w:rPr>
          <w:rFonts w:hint="eastAsia" w:ascii="宋体" w:hAnsi="宋体" w:cs="宋体"/>
          <w:b/>
          <w:bCs/>
          <w:color w:val="auto"/>
          <w:sz w:val="28"/>
          <w:szCs w:val="21"/>
          <w:highlight w:val="none"/>
        </w:rPr>
        <w:t>2、综合评分各项统计、评分结果均按四舍五入方法精确到小数点后两位。磋商小组采用综合评分法确定成交供应商，同时将成交结果通知所有参加报价的供应商；只宣布结果，不解释未成交原因。</w:t>
      </w:r>
    </w:p>
    <w:p>
      <w:pPr>
        <w:topLinePunct/>
        <w:spacing w:line="440" w:lineRule="exact"/>
        <w:rPr>
          <w:rFonts w:ascii="宋体" w:hAnsi="宋体" w:cs="宋体"/>
          <w:b/>
          <w:bCs/>
          <w:color w:val="auto"/>
          <w:sz w:val="28"/>
          <w:szCs w:val="21"/>
          <w:highlight w:val="none"/>
        </w:rPr>
      </w:pPr>
      <w:r>
        <w:rPr>
          <w:rFonts w:hint="eastAsia" w:ascii="宋体" w:hAnsi="宋体" w:cs="宋体"/>
          <w:b/>
          <w:bCs/>
          <w:color w:val="auto"/>
          <w:sz w:val="28"/>
          <w:szCs w:val="21"/>
          <w:highlight w:val="none"/>
        </w:rPr>
        <w:t>3、本次招标按综合得分由高到低的顺序，确定中标人。综合得分相同的，按投标报价由低到高顺序排列；综合得分且投标报价相同的，按技术指标优劣顺序排列。</w:t>
      </w:r>
    </w:p>
    <w:p>
      <w:pPr>
        <w:topLinePunct/>
        <w:spacing w:line="44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政府采购政策：</w:t>
      </w:r>
    </w:p>
    <w:p>
      <w:pPr>
        <w:pStyle w:val="35"/>
        <w:spacing w:line="440" w:lineRule="exact"/>
        <w:ind w:firstLine="560"/>
        <w:rPr>
          <w:rFonts w:ascii="宋体" w:hAnsi="宋体" w:cs="宋体"/>
          <w:color w:val="auto"/>
          <w:sz w:val="28"/>
          <w:szCs w:val="21"/>
          <w:highlight w:val="none"/>
        </w:rPr>
      </w:pPr>
      <w:r>
        <w:rPr>
          <w:rFonts w:hint="eastAsia" w:ascii="宋体" w:hAnsi="宋体" w:cs="宋体"/>
          <w:color w:val="auto"/>
          <w:sz w:val="28"/>
          <w:szCs w:val="21"/>
          <w:highlight w:val="none"/>
        </w:rPr>
        <w:t>根据《政府采购促进中小企业发展暂行办法》（财库[2011]181 号）文件规定，对小型和微型企业产品的价格给予 6%的扣除,用扣除后的价格参与评审：</w:t>
      </w:r>
    </w:p>
    <w:p>
      <w:pPr>
        <w:pStyle w:val="35"/>
        <w:spacing w:line="440" w:lineRule="exact"/>
        <w:ind w:firstLine="560"/>
        <w:rPr>
          <w:rFonts w:ascii="宋体" w:hAnsi="宋体" w:cs="宋体"/>
          <w:color w:val="auto"/>
          <w:sz w:val="28"/>
          <w:szCs w:val="21"/>
          <w:highlight w:val="none"/>
        </w:rPr>
      </w:pPr>
      <w:r>
        <w:rPr>
          <w:rFonts w:hint="eastAsia" w:ascii="宋体" w:hAnsi="宋体" w:cs="宋体"/>
          <w:color w:val="auto"/>
          <w:sz w:val="28"/>
          <w:szCs w:val="21"/>
          <w:highlight w:val="none"/>
        </w:rPr>
        <w:t>小微企业产品价格扣除=（小型、微型企业产品报价）×6%； 小微企业产品评审价格=总报价—小微企业产品价格扣除。</w:t>
      </w:r>
    </w:p>
    <w:p>
      <w:pPr>
        <w:pStyle w:val="35"/>
        <w:spacing w:line="440" w:lineRule="exact"/>
        <w:ind w:firstLine="560"/>
        <w:rPr>
          <w:rFonts w:ascii="宋体" w:hAnsi="宋体" w:cs="宋体"/>
          <w:color w:val="auto"/>
          <w:sz w:val="28"/>
          <w:szCs w:val="21"/>
          <w:highlight w:val="none"/>
        </w:rPr>
      </w:pPr>
      <w:r>
        <w:rPr>
          <w:rFonts w:hint="eastAsia" w:ascii="宋体" w:hAnsi="宋体" w:cs="宋体"/>
          <w:color w:val="auto"/>
          <w:sz w:val="28"/>
          <w:szCs w:val="21"/>
          <w:highlight w:val="none"/>
        </w:rPr>
        <w:t>注：供应商须提供声明函原件，否则不给予价格扣除。</w:t>
      </w:r>
    </w:p>
    <w:p>
      <w:pPr>
        <w:pStyle w:val="35"/>
        <w:spacing w:line="440" w:lineRule="exact"/>
        <w:ind w:firstLine="560"/>
        <w:rPr>
          <w:rFonts w:ascii="宋体" w:hAnsi="宋体" w:cs="宋体"/>
          <w:color w:val="auto"/>
          <w:sz w:val="28"/>
          <w:szCs w:val="21"/>
          <w:highlight w:val="none"/>
        </w:rPr>
      </w:pPr>
      <w:r>
        <w:rPr>
          <w:rFonts w:hint="eastAsia" w:ascii="宋体" w:hAnsi="宋体" w:cs="宋体"/>
          <w:color w:val="auto"/>
          <w:sz w:val="28"/>
          <w:szCs w:val="21"/>
          <w:highlight w:val="none"/>
        </w:rPr>
        <w:t>根据《财政部司法部关于政府采购支持监狱企业发展有关问题的通知》（财库[2014]68 号）文件规定，监狱企业视同小型、微型企业，享受评审中价格扣除政府采购政策，对监狱企业产品价格扣除：</w:t>
      </w:r>
    </w:p>
    <w:p>
      <w:pPr>
        <w:pStyle w:val="35"/>
        <w:spacing w:line="440" w:lineRule="exact"/>
        <w:ind w:firstLine="560"/>
        <w:rPr>
          <w:rFonts w:ascii="宋体" w:hAnsi="宋体" w:cs="宋体"/>
          <w:color w:val="auto"/>
          <w:sz w:val="28"/>
          <w:szCs w:val="21"/>
          <w:highlight w:val="none"/>
        </w:rPr>
      </w:pPr>
      <w:r>
        <w:rPr>
          <w:rFonts w:hint="eastAsia" w:ascii="宋体" w:hAnsi="宋体" w:cs="宋体"/>
          <w:color w:val="auto"/>
          <w:sz w:val="28"/>
          <w:szCs w:val="21"/>
          <w:highlight w:val="none"/>
        </w:rPr>
        <w:t>监狱企业产品价格扣除=监狱企业产品报价×6%；</w:t>
      </w:r>
    </w:p>
    <w:p>
      <w:pPr>
        <w:pStyle w:val="35"/>
        <w:spacing w:line="440" w:lineRule="exact"/>
        <w:ind w:firstLine="560"/>
        <w:rPr>
          <w:rFonts w:ascii="宋体" w:hAnsi="宋体" w:cs="宋体"/>
          <w:color w:val="auto"/>
          <w:sz w:val="28"/>
          <w:szCs w:val="21"/>
          <w:highlight w:val="none"/>
        </w:rPr>
      </w:pPr>
      <w:r>
        <w:rPr>
          <w:rFonts w:hint="eastAsia" w:ascii="宋体" w:hAnsi="宋体" w:cs="宋体"/>
          <w:color w:val="auto"/>
          <w:sz w:val="28"/>
          <w:szCs w:val="21"/>
          <w:highlight w:val="none"/>
        </w:rPr>
        <w:t>监狱企业评审价格=总报价-监狱企业产品价格扣除。</w:t>
      </w:r>
    </w:p>
    <w:p>
      <w:pPr>
        <w:pStyle w:val="35"/>
        <w:spacing w:line="440" w:lineRule="exact"/>
        <w:ind w:firstLine="560"/>
        <w:rPr>
          <w:rFonts w:ascii="宋体" w:hAnsi="宋体" w:cs="宋体"/>
          <w:color w:val="auto"/>
          <w:sz w:val="28"/>
          <w:szCs w:val="21"/>
          <w:highlight w:val="none"/>
        </w:rPr>
      </w:pPr>
      <w:r>
        <w:rPr>
          <w:rFonts w:hint="eastAsia" w:ascii="宋体" w:hAnsi="宋体" w:cs="宋体"/>
          <w:color w:val="auto"/>
          <w:sz w:val="28"/>
          <w:szCs w:val="21"/>
          <w:highlight w:val="none"/>
        </w:rPr>
        <w:t>注：1.根据山东省财政厅、山东省司法厅关于转发财政部、司法部《关于政府采购支持监狱企业发展有关问题的通知》的通知（鲁财采[2014]33 号）文件，制服、消防设备和特种车辆采购在项目评审时，对其产品给予 8%的价格扣除。2 .监狱企业参加政府采购活动时，应当提供由省级以上监狱管理局、戒毒管理局（含新疆生产建设兵团）出具的属于监狱企业的证明原件，否则不给予价格扣除。</w:t>
      </w:r>
    </w:p>
    <w:p>
      <w:pPr>
        <w:pStyle w:val="35"/>
        <w:spacing w:line="440" w:lineRule="exact"/>
        <w:ind w:firstLine="560"/>
        <w:rPr>
          <w:rFonts w:ascii="宋体" w:hAnsi="宋体" w:cs="宋体"/>
          <w:color w:val="auto"/>
          <w:sz w:val="28"/>
          <w:szCs w:val="21"/>
          <w:highlight w:val="none"/>
        </w:rPr>
      </w:pPr>
      <w:r>
        <w:rPr>
          <w:rFonts w:hint="eastAsia" w:ascii="宋体" w:hAnsi="宋体" w:cs="宋体"/>
          <w:color w:val="auto"/>
          <w:sz w:val="28"/>
          <w:szCs w:val="21"/>
          <w:highlight w:val="none"/>
        </w:rPr>
        <w:t>根据财政部、民政部、中国残疾人联合会印发《关于促进残疾人就业政府采购政策的通知》（财库[2017]141 号）文件规定，在政府采购活动中，残疾人福利性单位视同小型、微型企业，享受预留份额、评审中价格扣除等促进中小企业发展的政府采购政策。对残疾人福利性单位产品价格扣除，用扣除后的价格参与评审：</w:t>
      </w:r>
    </w:p>
    <w:p>
      <w:pPr>
        <w:pStyle w:val="35"/>
        <w:spacing w:line="440" w:lineRule="exact"/>
        <w:ind w:firstLine="560"/>
        <w:rPr>
          <w:rFonts w:ascii="宋体" w:hAnsi="宋体" w:cs="宋体"/>
          <w:color w:val="auto"/>
          <w:sz w:val="28"/>
          <w:szCs w:val="21"/>
          <w:highlight w:val="none"/>
        </w:rPr>
      </w:pPr>
      <w:r>
        <w:rPr>
          <w:rFonts w:hint="eastAsia" w:ascii="宋体" w:hAnsi="宋体" w:cs="宋体"/>
          <w:color w:val="auto"/>
          <w:sz w:val="28"/>
          <w:szCs w:val="21"/>
          <w:highlight w:val="none"/>
        </w:rPr>
        <w:t>残疾人福利性单位产品价格扣除=（残疾人福利性单位产品报价）×6%；</w:t>
      </w:r>
    </w:p>
    <w:p>
      <w:pPr>
        <w:pStyle w:val="35"/>
        <w:spacing w:line="440" w:lineRule="exact"/>
        <w:ind w:firstLine="560"/>
        <w:rPr>
          <w:rFonts w:ascii="宋体" w:hAnsi="宋体" w:cs="宋体"/>
          <w:color w:val="auto"/>
          <w:sz w:val="28"/>
          <w:szCs w:val="21"/>
          <w:highlight w:val="none"/>
        </w:rPr>
      </w:pPr>
      <w:r>
        <w:rPr>
          <w:rFonts w:hint="eastAsia" w:ascii="宋体" w:hAnsi="宋体" w:cs="宋体"/>
          <w:color w:val="auto"/>
          <w:sz w:val="28"/>
          <w:szCs w:val="21"/>
          <w:highlight w:val="none"/>
        </w:rPr>
        <w:t>残疾人福利性单位评审价格=总报价—残疾人福利性单位产品价格扣除。</w:t>
      </w:r>
    </w:p>
    <w:p>
      <w:pPr>
        <w:pStyle w:val="35"/>
        <w:spacing w:line="440" w:lineRule="exact"/>
        <w:ind w:firstLine="560"/>
        <w:rPr>
          <w:color w:val="auto"/>
          <w:highlight w:val="none"/>
        </w:rPr>
      </w:pPr>
      <w:r>
        <w:rPr>
          <w:rFonts w:hint="eastAsia" w:ascii="宋体" w:hAnsi="宋体" w:cs="宋体"/>
          <w:color w:val="auto"/>
          <w:sz w:val="28"/>
          <w:szCs w:val="21"/>
          <w:highlight w:val="none"/>
        </w:rPr>
        <w:t>注：1、残疾人福利性单位在参加政府采购活动时，应当提供《残疾人福利性单位声明函》，否则不给予价格扣除；2、残疾人福利性单位属于小型、微型企业的，不重复享受政策；3、供应商提供的《残疾人福利性单位声明函》与事实不符的，依照《政府采购法》第七十七条第一款的规定追究法律责任。</w:t>
      </w:r>
    </w:p>
    <w:p>
      <w:pPr>
        <w:topLinePunct/>
        <w:spacing w:line="440" w:lineRule="exact"/>
        <w:rPr>
          <w:rFonts w:ascii="宋体" w:hAnsi="宋体" w:cs="宋体"/>
          <w:b/>
          <w:bCs/>
          <w:color w:val="auto"/>
          <w:sz w:val="28"/>
          <w:szCs w:val="21"/>
          <w:highlight w:val="none"/>
        </w:rPr>
      </w:pPr>
      <w:r>
        <w:rPr>
          <w:rFonts w:hint="eastAsia" w:ascii="宋体" w:hAnsi="宋体" w:cs="宋体"/>
          <w:b/>
          <w:bCs/>
          <w:color w:val="auto"/>
          <w:sz w:val="28"/>
          <w:szCs w:val="21"/>
          <w:highlight w:val="none"/>
        </w:rPr>
        <w:t>29.成交供应商</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磋商小组采用综合评分法依次对各合格供应商进行评审，按评审后综合得分由高到低顺序排列，向采购人推荐前三名的供应商为成交侯选人。综合得分相同的，按报价由低到高顺序排列；综合得分且报价相同的，按技术指标优劣顺序排列，以确定成交供应商。</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采购人应当确定排名第一的成交候选人为成交人，排名第一的成交候选人放弃成交，因不可抗力不能履行合同，或者被查实存在影响中标结果的违法行为等情形，不符合成交条件的，采购人可以按照评审委员会提出的成交候选名单排序依次确定其他成交候选人为成交人，也可以重新招标。</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确定成交供应商后，代理机构将按照有关规定向其发出成交通知书。</w:t>
      </w:r>
    </w:p>
    <w:p>
      <w:pPr>
        <w:pStyle w:val="24"/>
        <w:spacing w:line="440" w:lineRule="exact"/>
        <w:ind w:firstLine="0" w:firstLineChars="0"/>
        <w:rPr>
          <w:rFonts w:ascii="宋体" w:hAnsi="宋体" w:cs="宋体"/>
          <w:b/>
          <w:bCs/>
          <w:color w:val="auto"/>
          <w:sz w:val="28"/>
          <w:szCs w:val="24"/>
          <w:highlight w:val="none"/>
        </w:rPr>
      </w:pPr>
      <w:r>
        <w:rPr>
          <w:rFonts w:hint="eastAsia" w:ascii="宋体" w:hAnsi="宋体" w:cs="宋体"/>
          <w:b/>
          <w:bCs/>
          <w:color w:val="auto"/>
          <w:sz w:val="28"/>
          <w:szCs w:val="24"/>
          <w:highlight w:val="none"/>
        </w:rPr>
        <w:t>30.评审纪律</w:t>
      </w:r>
    </w:p>
    <w:p>
      <w:pPr>
        <w:pStyle w:val="24"/>
        <w:spacing w:line="440" w:lineRule="exact"/>
        <w:ind w:firstLine="560"/>
        <w:rPr>
          <w:rFonts w:ascii="宋体" w:hAnsi="宋体" w:cs="宋体"/>
          <w:color w:val="auto"/>
          <w:sz w:val="28"/>
          <w:szCs w:val="24"/>
          <w:highlight w:val="none"/>
        </w:rPr>
      </w:pPr>
      <w:r>
        <w:rPr>
          <w:rFonts w:ascii="宋体" w:hAnsi="宋体" w:cs="宋体"/>
          <w:color w:val="auto"/>
          <w:sz w:val="28"/>
          <w:szCs w:val="24"/>
          <w:highlight w:val="none"/>
        </w:rPr>
        <w:t>按照《中华人民共和国政府采购法实施条例》、《政府采购评审专家管理办法》及《山东省政府采购评审专家管理实施办法》规定执行。</w:t>
      </w:r>
    </w:p>
    <w:p>
      <w:pPr>
        <w:topLinePunct/>
        <w:spacing w:line="440" w:lineRule="exact"/>
        <w:rPr>
          <w:rFonts w:ascii="宋体" w:hAnsi="宋体" w:cs="宋体"/>
          <w:b/>
          <w:bCs/>
          <w:color w:val="auto"/>
          <w:sz w:val="28"/>
          <w:szCs w:val="21"/>
          <w:highlight w:val="none"/>
        </w:rPr>
      </w:pPr>
      <w:r>
        <w:rPr>
          <w:rFonts w:hint="eastAsia" w:ascii="宋体" w:hAnsi="宋体" w:cs="宋体"/>
          <w:b/>
          <w:bCs/>
          <w:color w:val="auto"/>
          <w:sz w:val="28"/>
          <w:szCs w:val="21"/>
          <w:highlight w:val="none"/>
        </w:rPr>
        <w:t>31.废标情形</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采购中，出现下列情形之一的，根据《中华人民共和国政府采购法》第三十六条规定，应予废标：</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（一）符合专业条件的供应商或者对磋商文件作实质响应的供应商不足三家的；</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（二）出现影响采购公正的违法、违规行为的；</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（三）供应商的报价均超过了采购预算，采购人不能支付的；</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（四）因重大变故，采购任务取消的。</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废标后，除采购任务取消外，应当重新组织招标。</w:t>
      </w:r>
    </w:p>
    <w:p>
      <w:pPr>
        <w:pStyle w:val="29"/>
        <w:ind w:firstLine="0" w:firstLineChars="0"/>
        <w:rPr>
          <w:rFonts w:ascii="宋体" w:hAnsi="宋体" w:cs="宋体"/>
          <w:b/>
          <w:bCs/>
          <w:color w:val="auto"/>
          <w:sz w:val="28"/>
          <w:szCs w:val="21"/>
          <w:highlight w:val="none"/>
        </w:rPr>
      </w:pPr>
      <w:r>
        <w:rPr>
          <w:rFonts w:hint="eastAsia" w:ascii="宋体" w:hAnsi="宋体" w:cs="宋体"/>
          <w:b/>
          <w:color w:val="auto"/>
          <w:sz w:val="28"/>
          <w:szCs w:val="21"/>
          <w:highlight w:val="none"/>
        </w:rPr>
        <w:t>32.</w:t>
      </w:r>
      <w:r>
        <w:rPr>
          <w:rFonts w:hint="eastAsia" w:ascii="宋体" w:hAnsi="宋体" w:cs="宋体"/>
          <w:b/>
          <w:bCs/>
          <w:color w:val="auto"/>
          <w:sz w:val="28"/>
          <w:szCs w:val="21"/>
          <w:highlight w:val="none"/>
        </w:rPr>
        <w:t>关于供应商瑕疵滞后发现的处理规则</w:t>
      </w:r>
    </w:p>
    <w:p>
      <w:pPr>
        <w:pStyle w:val="29"/>
        <w:ind w:firstLine="0" w:firstLineChars="0"/>
        <w:rPr>
          <w:rFonts w:ascii="宋体" w:hAnsi="宋体" w:cs="宋体"/>
          <w:color w:val="auto"/>
          <w:sz w:val="28"/>
          <w:szCs w:val="21"/>
          <w:highlight w:val="none"/>
          <w:lang w:val="zh-CN"/>
        </w:rPr>
      </w:pPr>
      <w:r>
        <w:rPr>
          <w:rFonts w:hint="eastAsia" w:ascii="宋体" w:hAnsi="宋体" w:cs="宋体"/>
          <w:color w:val="auto"/>
          <w:sz w:val="28"/>
          <w:szCs w:val="21"/>
          <w:highlight w:val="none"/>
        </w:rPr>
        <w:t xml:space="preserve">    1、</w:t>
      </w:r>
      <w:r>
        <w:rPr>
          <w:rFonts w:hint="eastAsia" w:ascii="宋体" w:hAnsi="宋体" w:cs="宋体"/>
          <w:color w:val="auto"/>
          <w:sz w:val="28"/>
          <w:szCs w:val="21"/>
          <w:highlight w:val="none"/>
          <w:lang w:val="zh-CN"/>
        </w:rPr>
        <w:t>无论基于何种原因，本应作无效、废标处理的情形即便未被及时发现而使该供应商进入初审、详细评审或者其它后续程序，包括已经签约的情形，一旦在任何时间被发现存在上述情形，评标委员会均有权随时视情形决定是否取消该供应商的此前评议结果，或者随时视情形决定该投标无效，并有权决定采取相应的补救、纠正措施；若通过补救、纠正措施能够满足磋商文件或者</w:t>
      </w:r>
      <w:r>
        <w:rPr>
          <w:rFonts w:hint="eastAsia" w:ascii="宋体" w:hAnsi="宋体" w:cs="宋体"/>
          <w:color w:val="auto"/>
          <w:sz w:val="28"/>
          <w:szCs w:val="21"/>
          <w:highlight w:val="none"/>
        </w:rPr>
        <w:t>采购</w:t>
      </w:r>
      <w:r>
        <w:rPr>
          <w:rFonts w:hint="eastAsia" w:ascii="宋体" w:hAnsi="宋体" w:cs="宋体"/>
          <w:color w:val="auto"/>
          <w:sz w:val="28"/>
          <w:szCs w:val="21"/>
          <w:highlight w:val="none"/>
          <w:lang w:val="zh-CN"/>
        </w:rPr>
        <w:t>人要求，评标委员会可以维持既定结果并要求中标人出具补救、纠正措施等承诺，由此产生的一切费用由中标人承担；若通过补救、纠正措施仍不能够满足磋商文件或者</w:t>
      </w:r>
      <w:r>
        <w:rPr>
          <w:rFonts w:hint="eastAsia" w:ascii="宋体" w:hAnsi="宋体" w:cs="宋体"/>
          <w:color w:val="auto"/>
          <w:sz w:val="28"/>
          <w:szCs w:val="21"/>
          <w:highlight w:val="none"/>
        </w:rPr>
        <w:t>采购</w:t>
      </w:r>
      <w:r>
        <w:rPr>
          <w:rFonts w:hint="eastAsia" w:ascii="宋体" w:hAnsi="宋体" w:cs="宋体"/>
          <w:color w:val="auto"/>
          <w:sz w:val="28"/>
          <w:szCs w:val="21"/>
          <w:highlight w:val="none"/>
          <w:lang w:val="zh-CN"/>
        </w:rPr>
        <w:t>人要求，评标委员会应出具取消该供应商的此前评议结果的复审结论，并予以废标，由此产生的一切损失均由中标人承担。</w:t>
      </w:r>
    </w:p>
    <w:p>
      <w:pPr>
        <w:pStyle w:val="29"/>
        <w:ind w:firstLine="0" w:firstLineChars="0"/>
        <w:rPr>
          <w:rFonts w:ascii="宋体" w:hAnsi="宋体" w:cs="宋体"/>
          <w:color w:val="auto"/>
          <w:sz w:val="28"/>
          <w:szCs w:val="21"/>
          <w:highlight w:val="none"/>
          <w:lang w:val="zh-CN"/>
        </w:rPr>
      </w:pPr>
      <w:r>
        <w:rPr>
          <w:rFonts w:hint="eastAsia" w:ascii="宋体" w:hAnsi="宋体" w:cs="宋体"/>
          <w:color w:val="auto"/>
          <w:sz w:val="28"/>
          <w:szCs w:val="21"/>
          <w:highlight w:val="none"/>
          <w:lang w:val="zh-CN"/>
        </w:rPr>
        <w:t>评标委员会认定中标人投标无效、废标或者中标人的此前评议结果被取消的，磋商文件规定由评标委员会直接确定中标人的，应予以废标，由</w:t>
      </w:r>
      <w:r>
        <w:rPr>
          <w:rFonts w:hint="eastAsia" w:ascii="宋体" w:hAnsi="宋体" w:cs="宋体"/>
          <w:color w:val="auto"/>
          <w:sz w:val="28"/>
          <w:szCs w:val="21"/>
          <w:highlight w:val="none"/>
        </w:rPr>
        <w:t>采购</w:t>
      </w:r>
      <w:r>
        <w:rPr>
          <w:rFonts w:hint="eastAsia" w:ascii="宋体" w:hAnsi="宋体" w:cs="宋体"/>
          <w:color w:val="auto"/>
          <w:sz w:val="28"/>
          <w:szCs w:val="21"/>
          <w:highlight w:val="none"/>
          <w:lang w:val="zh-CN"/>
        </w:rPr>
        <w:t>人依法重新组织招标。出现上述情形的一切损失均由取消中标资格的供应商承担。</w:t>
      </w:r>
    </w:p>
    <w:p>
      <w:pPr>
        <w:spacing w:line="440" w:lineRule="exact"/>
        <w:rPr>
          <w:rFonts w:ascii="宋体" w:hAnsi="宋体" w:cs="宋体"/>
          <w:b/>
          <w:color w:val="auto"/>
          <w:sz w:val="32"/>
          <w:szCs w:val="32"/>
          <w:highlight w:val="none"/>
        </w:rPr>
      </w:pPr>
      <w:r>
        <w:rPr>
          <w:rFonts w:hint="eastAsia" w:ascii="宋体" w:hAnsi="宋体" w:cs="宋体"/>
          <w:color w:val="auto"/>
          <w:spacing w:val="6"/>
          <w:kern w:val="0"/>
          <w:sz w:val="28"/>
          <w:szCs w:val="24"/>
          <w:highlight w:val="none"/>
        </w:rPr>
        <w:t>2、</w:t>
      </w:r>
      <w:r>
        <w:rPr>
          <w:rFonts w:hint="eastAsia" w:ascii="宋体" w:hAnsi="宋体" w:cs="宋体"/>
          <w:color w:val="auto"/>
          <w:spacing w:val="6"/>
          <w:kern w:val="0"/>
          <w:sz w:val="28"/>
          <w:szCs w:val="24"/>
          <w:highlight w:val="none"/>
          <w:lang w:val="zh-CN"/>
        </w:rPr>
        <w:t>若已经超过质疑期限而没有被发现，签署了相关的合同之后才发现存在上述情形，经评标委员会再行审查认为其在技术、必要资质等方面并不存在问题而仅属于商务方面存在瑕疵的问题，若取消该供应商的此前评议结果或者采取类似的处理措施将对本次采购更为不利的情形（包括：予以无效投标、废标或者采取类似的处理措施将使本次采购成本大幅上升、延误期限以至可能给</w:t>
      </w:r>
      <w:r>
        <w:rPr>
          <w:rFonts w:hint="eastAsia" w:ascii="宋体" w:hAnsi="宋体" w:cs="宋体"/>
          <w:color w:val="auto"/>
          <w:spacing w:val="6"/>
          <w:kern w:val="0"/>
          <w:sz w:val="28"/>
          <w:szCs w:val="24"/>
          <w:highlight w:val="none"/>
        </w:rPr>
        <w:t>采购</w:t>
      </w:r>
      <w:r>
        <w:rPr>
          <w:rFonts w:hint="eastAsia" w:ascii="宋体" w:hAnsi="宋体" w:cs="宋体"/>
          <w:color w:val="auto"/>
          <w:spacing w:val="6"/>
          <w:kern w:val="0"/>
          <w:sz w:val="28"/>
          <w:szCs w:val="24"/>
          <w:highlight w:val="none"/>
          <w:lang w:val="zh-CN"/>
        </w:rPr>
        <w:t>人造成较大损失的），维持中标结果的，</w:t>
      </w:r>
      <w:r>
        <w:rPr>
          <w:rFonts w:hint="eastAsia" w:ascii="宋体" w:hAnsi="宋体" w:cs="宋体"/>
          <w:color w:val="auto"/>
          <w:spacing w:val="6"/>
          <w:kern w:val="0"/>
          <w:sz w:val="28"/>
          <w:szCs w:val="24"/>
          <w:highlight w:val="none"/>
        </w:rPr>
        <w:t>采购</w:t>
      </w:r>
      <w:r>
        <w:rPr>
          <w:rFonts w:hint="eastAsia" w:ascii="宋体" w:hAnsi="宋体" w:cs="宋体"/>
          <w:color w:val="auto"/>
          <w:spacing w:val="6"/>
          <w:kern w:val="0"/>
          <w:sz w:val="28"/>
          <w:szCs w:val="24"/>
          <w:highlight w:val="none"/>
          <w:lang w:val="zh-CN"/>
        </w:rPr>
        <w:t>人必须出具维持中标结果以及是否要求提供特别担保金的书面意见，评标委员会可以维持既定结果并要求中标人出具提供特别担保金承诺，以承担可能产生的赔偿责任；若中标人拒绝提供特别担保金、实际提供的担保金额不足或者</w:t>
      </w:r>
      <w:r>
        <w:rPr>
          <w:rFonts w:hint="eastAsia" w:ascii="宋体" w:hAnsi="宋体" w:cs="宋体"/>
          <w:color w:val="auto"/>
          <w:spacing w:val="6"/>
          <w:kern w:val="0"/>
          <w:sz w:val="28"/>
          <w:szCs w:val="24"/>
          <w:highlight w:val="none"/>
        </w:rPr>
        <w:t>采购</w:t>
      </w:r>
      <w:r>
        <w:rPr>
          <w:rFonts w:hint="eastAsia" w:ascii="宋体" w:hAnsi="宋体" w:cs="宋体"/>
          <w:color w:val="auto"/>
          <w:spacing w:val="6"/>
          <w:kern w:val="0"/>
          <w:sz w:val="28"/>
          <w:szCs w:val="24"/>
          <w:highlight w:val="none"/>
          <w:lang w:val="zh-CN"/>
        </w:rPr>
        <w:t>人不同意维持中标结果的，评标委员会应当决定取消中标人的此前评议结果或者采取类似的处理措施，由此产生的一切损失均由中标人承担。</w:t>
      </w:r>
      <w:bookmarkStart w:id="16" w:name="_Toc12205"/>
    </w:p>
    <w:p>
      <w:pPr>
        <w:spacing w:before="100" w:beforeAutospacing="1" w:after="100" w:afterAutospacing="1" w:line="440" w:lineRule="exact"/>
        <w:jc w:val="center"/>
        <w:outlineLvl w:val="0"/>
        <w:rPr>
          <w:rFonts w:ascii="宋体" w:hAnsi="宋体" w:cs="宋体"/>
          <w:b/>
          <w:color w:val="auto"/>
          <w:sz w:val="28"/>
          <w:szCs w:val="21"/>
          <w:highlight w:val="none"/>
        </w:rPr>
      </w:pPr>
      <w:r>
        <w:rPr>
          <w:rFonts w:hint="eastAsia" w:ascii="宋体" w:hAnsi="宋体" w:cs="宋体"/>
          <w:b/>
          <w:color w:val="auto"/>
          <w:sz w:val="32"/>
          <w:szCs w:val="32"/>
          <w:highlight w:val="none"/>
        </w:rPr>
        <w:t>六、成交通知书及</w:t>
      </w:r>
      <w:bookmarkEnd w:id="16"/>
      <w:r>
        <w:rPr>
          <w:rFonts w:hint="eastAsia" w:ascii="宋体" w:hAnsi="宋体" w:cs="宋体"/>
          <w:b/>
          <w:color w:val="auto"/>
          <w:sz w:val="32"/>
          <w:szCs w:val="32"/>
          <w:highlight w:val="none"/>
        </w:rPr>
        <w:t>成交服务费</w:t>
      </w:r>
    </w:p>
    <w:p>
      <w:pPr>
        <w:topLinePunct/>
        <w:spacing w:line="440" w:lineRule="exact"/>
        <w:ind w:firstLine="562" w:firstLineChars="200"/>
        <w:rPr>
          <w:rFonts w:ascii="宋体" w:hAnsi="宋体" w:cs="宋体"/>
          <w:b/>
          <w:bCs/>
          <w:color w:val="auto"/>
          <w:sz w:val="28"/>
          <w:szCs w:val="21"/>
          <w:highlight w:val="none"/>
        </w:rPr>
      </w:pPr>
      <w:r>
        <w:rPr>
          <w:rFonts w:hint="eastAsia" w:ascii="宋体" w:hAnsi="宋体" w:cs="宋体"/>
          <w:b/>
          <w:bCs/>
          <w:color w:val="auto"/>
          <w:sz w:val="28"/>
          <w:szCs w:val="21"/>
          <w:highlight w:val="none"/>
        </w:rPr>
        <w:t>33.成交通知书</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1) 成交供应商确定后，成交结果应当在财政部门指定的政府采购信息发布媒体上公告。</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2）在发布公告的同时，采购单位应当向成交供应商发出成交通知书，成交通知书对采购人和成交供应商具有同等法律效力。</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lang w:val="en-US" w:eastAsia="zh-CN"/>
        </w:rPr>
        <w:t>3</w:t>
      </w:r>
      <w:r>
        <w:rPr>
          <w:rFonts w:hint="eastAsia" w:ascii="宋体" w:hAnsi="宋体" w:cs="宋体"/>
          <w:color w:val="auto"/>
          <w:sz w:val="28"/>
          <w:szCs w:val="21"/>
          <w:highlight w:val="none"/>
        </w:rPr>
        <w:t>) 成交通知书是签订合同的依据和组成部分。</w:t>
      </w:r>
    </w:p>
    <w:p>
      <w:pPr>
        <w:topLinePunct/>
        <w:spacing w:line="440" w:lineRule="exact"/>
        <w:ind w:firstLine="562" w:firstLineChars="200"/>
        <w:rPr>
          <w:rFonts w:ascii="宋体" w:hAnsi="宋体" w:cs="宋体"/>
          <w:b/>
          <w:bCs/>
          <w:color w:val="auto"/>
          <w:sz w:val="28"/>
          <w:szCs w:val="21"/>
          <w:highlight w:val="none"/>
        </w:rPr>
      </w:pPr>
      <w:r>
        <w:rPr>
          <w:rFonts w:hint="eastAsia" w:ascii="宋体" w:hAnsi="宋体" w:cs="宋体"/>
          <w:b/>
          <w:bCs/>
          <w:color w:val="auto"/>
          <w:sz w:val="28"/>
          <w:szCs w:val="21"/>
          <w:highlight w:val="none"/>
        </w:rPr>
        <w:t>34.成交服务费</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1）成交服务费：</w:t>
      </w:r>
      <w:bookmarkStart w:id="17" w:name="OLE_LINK26"/>
      <w:r>
        <w:rPr>
          <w:rFonts w:hint="eastAsia" w:ascii="宋体" w:hAnsi="宋体" w:cs="宋体"/>
          <w:color w:val="auto"/>
          <w:sz w:val="28"/>
          <w:szCs w:val="21"/>
          <w:highlight w:val="none"/>
        </w:rPr>
        <w:t>按照国家计委《招标代理服务收费管理暂行办法》（计价格[2002]1980号）和国家发展改革委办公厅《关于招标代理服务收费有关问题的通知》（发改办价格[2003]857号）文件和临沂市有关规定执行，并参照临沂市[2012]12 号文。</w:t>
      </w:r>
      <w:bookmarkEnd w:id="17"/>
    </w:p>
    <w:p>
      <w:pPr>
        <w:topLinePunct/>
        <w:spacing w:line="440" w:lineRule="exact"/>
        <w:ind w:firstLine="560" w:firstLineChars="200"/>
        <w:rPr>
          <w:rFonts w:ascii="宋体" w:hAnsi="宋体" w:cs="宋体"/>
          <w:b/>
          <w:color w:val="auto"/>
          <w:sz w:val="32"/>
          <w:szCs w:val="32"/>
          <w:highlight w:val="none"/>
        </w:rPr>
      </w:pPr>
      <w:r>
        <w:rPr>
          <w:rFonts w:hint="eastAsia" w:ascii="宋体" w:hAnsi="宋体" w:cs="宋体"/>
          <w:color w:val="auto"/>
          <w:sz w:val="28"/>
          <w:szCs w:val="21"/>
          <w:highlight w:val="none"/>
        </w:rPr>
        <w:t xml:space="preserve"> 2）本项目成交服务费按</w:t>
      </w:r>
      <w:r>
        <w:rPr>
          <w:rFonts w:hint="eastAsia" w:asciiTheme="minorEastAsia" w:hAnsiTheme="minorEastAsia" w:eastAsiaTheme="minorEastAsia" w:cstheme="minorEastAsia"/>
          <w:color w:val="auto"/>
          <w:sz w:val="28"/>
          <w:szCs w:val="28"/>
          <w:highlight w:val="none"/>
        </w:rPr>
        <w:t>照国家有关规定执行</w:t>
      </w:r>
      <w:r>
        <w:rPr>
          <w:rFonts w:hint="eastAsia" w:ascii="宋体" w:hAnsi="宋体" w:cs="宋体"/>
          <w:color w:val="auto"/>
          <w:sz w:val="28"/>
          <w:szCs w:val="21"/>
          <w:highlight w:val="none"/>
        </w:rPr>
        <w:t>，由成交供应商向采购代理机构缴纳。</w:t>
      </w:r>
      <w:bookmarkStart w:id="18" w:name="_Toc27280"/>
    </w:p>
    <w:p>
      <w:pPr>
        <w:spacing w:before="100" w:beforeAutospacing="1" w:after="100" w:afterAutospacing="1" w:line="4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七、合同的授予</w:t>
      </w:r>
      <w:bookmarkEnd w:id="18"/>
    </w:p>
    <w:p>
      <w:pPr>
        <w:topLinePunct/>
        <w:spacing w:line="440" w:lineRule="exact"/>
        <w:ind w:firstLine="562" w:firstLineChars="200"/>
        <w:rPr>
          <w:rFonts w:ascii="宋体" w:hAnsi="宋体" w:cs="宋体"/>
          <w:b/>
          <w:bCs/>
          <w:color w:val="auto"/>
          <w:sz w:val="28"/>
          <w:szCs w:val="21"/>
          <w:highlight w:val="none"/>
        </w:rPr>
      </w:pPr>
      <w:r>
        <w:rPr>
          <w:rFonts w:hint="eastAsia" w:ascii="宋体" w:hAnsi="宋体" w:cs="宋体"/>
          <w:b/>
          <w:bCs/>
          <w:color w:val="auto"/>
          <w:sz w:val="28"/>
          <w:szCs w:val="21"/>
          <w:highlight w:val="none"/>
        </w:rPr>
        <w:t>35.合同授予</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本项目的采购合同将授予按本须知规定确定的成交供应商，本项目由成交供应商与采购人签订书面合同。</w:t>
      </w:r>
    </w:p>
    <w:p>
      <w:pPr>
        <w:spacing w:line="440" w:lineRule="exact"/>
        <w:ind w:firstLine="548" w:firstLineChars="196"/>
        <w:rPr>
          <w:rFonts w:ascii="宋体" w:hAnsi="宋体" w:cs="宋体"/>
          <w:color w:val="auto"/>
          <w:sz w:val="32"/>
          <w:szCs w:val="32"/>
          <w:highlight w:val="none"/>
        </w:rPr>
      </w:pPr>
      <w:r>
        <w:rPr>
          <w:rFonts w:hint="eastAsia" w:ascii="宋体" w:hAnsi="宋体" w:cs="宋体"/>
          <w:color w:val="auto"/>
          <w:sz w:val="28"/>
          <w:szCs w:val="21"/>
          <w:highlight w:val="none"/>
        </w:rPr>
        <w:t>采购人在授予合同前，根据实际需求有权在法定范围内对货物进行适当调整并按供货数量据实结算</w:t>
      </w:r>
      <w:r>
        <w:rPr>
          <w:rFonts w:hint="eastAsia" w:ascii="宋体" w:hAnsi="宋体" w:cs="宋体"/>
          <w:color w:val="auto"/>
          <w:sz w:val="32"/>
          <w:szCs w:val="32"/>
          <w:highlight w:val="none"/>
        </w:rPr>
        <w:t>。</w:t>
      </w:r>
    </w:p>
    <w:p>
      <w:pPr>
        <w:topLinePunct/>
        <w:spacing w:line="440" w:lineRule="exact"/>
        <w:ind w:firstLine="562" w:firstLineChars="200"/>
        <w:rPr>
          <w:rFonts w:ascii="宋体" w:hAnsi="宋体" w:cs="宋体"/>
          <w:b/>
          <w:bCs/>
          <w:color w:val="auto"/>
          <w:sz w:val="28"/>
          <w:szCs w:val="21"/>
          <w:highlight w:val="none"/>
        </w:rPr>
      </w:pPr>
      <w:r>
        <w:rPr>
          <w:rFonts w:hint="eastAsia" w:ascii="宋体" w:hAnsi="宋体" w:cs="宋体"/>
          <w:b/>
          <w:bCs/>
          <w:color w:val="auto"/>
          <w:sz w:val="28"/>
          <w:szCs w:val="21"/>
          <w:highlight w:val="none"/>
        </w:rPr>
        <w:t>36.合同签订</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采购人与成交供应商应当在成交通知书发出之日起三十日内，按照磋商文件确定的事项签订政府采购合同。</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由于成交供应商的原因逾期未与采购人签订政府采购合同的，将视为放弃中标，取消其中标资格并将按相关规定进行处理。</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政府采购合同签订的内容不能超出磋商文件和响应文件的实质性内容。</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磋商文件、响应文件、成交通知书及成交供应商在评审过程中就有关问题做出的书面说明或承诺等是政府采购合同的组成部分。</w:t>
      </w:r>
    </w:p>
    <w:p>
      <w:pPr>
        <w:topLinePunct/>
        <w:spacing w:line="44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成交供应商拒绝与采购人签订合同的，根据《中华人民共和国政府采购法实施条例》第五章第四十九条规定，采购人可以按照评审报告推荐的中标候选人名单排序，确定下一候选人为成交供应商，也可以重新开展政府采购活动。</w:t>
      </w:r>
    </w:p>
    <w:p>
      <w:pPr>
        <w:topLinePunct/>
        <w:spacing w:line="440" w:lineRule="exact"/>
        <w:ind w:firstLine="560" w:firstLineChars="200"/>
        <w:rPr>
          <w:rFonts w:ascii="宋体" w:hAnsi="宋体" w:cs="宋体"/>
          <w:color w:val="auto"/>
          <w:sz w:val="28"/>
          <w:szCs w:val="24"/>
          <w:highlight w:val="none"/>
        </w:rPr>
      </w:pPr>
      <w:r>
        <w:rPr>
          <w:rFonts w:hint="eastAsia" w:ascii="宋体" w:hAnsi="宋体" w:cs="宋体"/>
          <w:color w:val="auto"/>
          <w:sz w:val="28"/>
          <w:szCs w:val="24"/>
          <w:highlight w:val="none"/>
        </w:rPr>
        <w:t>成交供应商在政府采购合同签订之后三个工作日内，将两份签订的政府采购合同送采购代理机构（一份备案、一份留档）。</w:t>
      </w:r>
    </w:p>
    <w:p>
      <w:pPr>
        <w:topLinePunct/>
        <w:spacing w:line="440" w:lineRule="exact"/>
        <w:ind w:firstLine="562" w:firstLineChars="200"/>
        <w:rPr>
          <w:rFonts w:ascii="宋体" w:hAnsi="宋体" w:cs="宋体"/>
          <w:b/>
          <w:bCs/>
          <w:color w:val="auto"/>
          <w:sz w:val="28"/>
          <w:szCs w:val="24"/>
          <w:highlight w:val="none"/>
        </w:rPr>
      </w:pPr>
      <w:r>
        <w:rPr>
          <w:rFonts w:hint="eastAsia" w:ascii="宋体" w:hAnsi="宋体" w:cs="宋体"/>
          <w:b/>
          <w:bCs/>
          <w:color w:val="auto"/>
          <w:sz w:val="28"/>
          <w:szCs w:val="24"/>
          <w:highlight w:val="none"/>
        </w:rPr>
        <w:t>合同格式：使用国家规范性文本，附加条款双方商定。</w:t>
      </w:r>
    </w:p>
    <w:p>
      <w:pPr>
        <w:pStyle w:val="15"/>
        <w:rPr>
          <w:color w:val="auto"/>
          <w:kern w:val="44"/>
          <w:sz w:val="36"/>
          <w:szCs w:val="36"/>
          <w:highlight w:val="none"/>
        </w:rPr>
      </w:pPr>
    </w:p>
    <w:p>
      <w:pPr>
        <w:pStyle w:val="15"/>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891" w:firstLineChars="800"/>
        <w:jc w:val="both"/>
        <w:rPr>
          <w:rFonts w:hint="eastAsia"/>
          <w:color w:val="auto"/>
          <w:kern w:val="44"/>
          <w:sz w:val="36"/>
          <w:szCs w:val="36"/>
          <w:highlight w:val="none"/>
        </w:rPr>
      </w:pPr>
    </w:p>
    <w:p>
      <w:pPr>
        <w:pStyle w:val="15"/>
        <w:ind w:firstLine="2168" w:firstLineChars="600"/>
        <w:jc w:val="both"/>
        <w:rPr>
          <w:color w:val="auto"/>
          <w:kern w:val="44"/>
          <w:sz w:val="36"/>
          <w:szCs w:val="36"/>
          <w:highlight w:val="none"/>
        </w:rPr>
      </w:pPr>
      <w:r>
        <w:rPr>
          <w:rFonts w:hint="eastAsia"/>
          <w:color w:val="auto"/>
          <w:kern w:val="44"/>
          <w:sz w:val="36"/>
          <w:szCs w:val="36"/>
          <w:highlight w:val="none"/>
        </w:rPr>
        <w:t>第三章  项目说明及内容</w:t>
      </w:r>
    </w:p>
    <w:p>
      <w:pPr>
        <w:spacing w:line="4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（一）项目说明</w:t>
      </w:r>
    </w:p>
    <w:p>
      <w:pPr>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1、项目名称：</w:t>
      </w:r>
      <w:r>
        <w:rPr>
          <w:rFonts w:hint="eastAsia" w:ascii="宋体" w:hAnsi="宋体"/>
          <w:color w:val="auto"/>
          <w:sz w:val="28"/>
          <w:szCs w:val="28"/>
          <w:highlight w:val="none"/>
          <w:lang w:eastAsia="zh-CN"/>
        </w:rPr>
        <w:t>山东省临沂卫生学校扩建项目图书信息综合楼工程-YT保温采购项目</w:t>
      </w:r>
      <w:r>
        <w:rPr>
          <w:rFonts w:hint="eastAsia" w:ascii="宋体" w:hAnsi="宋体"/>
          <w:color w:val="auto"/>
          <w:sz w:val="28"/>
          <w:szCs w:val="28"/>
          <w:highlight w:val="none"/>
        </w:rPr>
        <w:t>。</w:t>
      </w:r>
    </w:p>
    <w:p>
      <w:pPr>
        <w:spacing w:line="400" w:lineRule="exact"/>
        <w:ind w:firstLine="560" w:firstLineChars="200"/>
        <w:rPr>
          <w:rFonts w:hint="eastAsia" w:ascii="宋体" w:hAnsi="宋体" w:eastAsia="宋体" w:cs="宋体"/>
          <w:color w:val="auto"/>
          <w:kern w:val="0"/>
          <w:sz w:val="28"/>
          <w:szCs w:val="28"/>
          <w:highlight w:val="none"/>
        </w:rPr>
      </w:pPr>
      <w:r>
        <w:rPr>
          <w:rFonts w:hint="eastAsia" w:ascii="宋体" w:hAnsi="宋体" w:cs="仿宋"/>
          <w:bCs/>
          <w:color w:val="auto"/>
          <w:sz w:val="28"/>
          <w:szCs w:val="28"/>
          <w:highlight w:val="none"/>
        </w:rPr>
        <w:t>2、项目概况</w:t>
      </w:r>
      <w:r>
        <w:rPr>
          <w:rFonts w:hint="eastAsia" w:ascii="宋体" w:hAnsi="宋体" w:cs="仿宋"/>
          <w:bCs/>
          <w:color w:val="auto"/>
          <w:sz w:val="28"/>
          <w:szCs w:val="28"/>
          <w:highlight w:val="none"/>
          <w:lang w:eastAsia="zh-CN"/>
        </w:rPr>
        <w:t>：</w:t>
      </w:r>
      <w:r>
        <w:rPr>
          <w:rFonts w:hint="eastAsia" w:ascii="宋体" w:hAnsi="宋体" w:eastAsia="宋体" w:cs="宋体"/>
          <w:b w:val="0"/>
          <w:bCs/>
          <w:color w:val="auto"/>
          <w:sz w:val="28"/>
          <w:szCs w:val="28"/>
          <w:highlight w:val="none"/>
          <w:u w:val="none"/>
        </w:rPr>
        <w:t>山东省临沂卫生学</w:t>
      </w:r>
      <w:r>
        <w:rPr>
          <w:rFonts w:hint="eastAsia" w:ascii="宋体" w:hAnsi="宋体" w:eastAsia="宋体" w:cs="宋体"/>
          <w:b w:val="0"/>
          <w:bCs/>
          <w:color w:val="auto"/>
          <w:sz w:val="28"/>
          <w:szCs w:val="28"/>
          <w:highlight w:val="none"/>
          <w:u w:val="none"/>
          <w:lang w:eastAsia="zh-CN"/>
        </w:rPr>
        <w:t>校扩建项目图书信息综合楼工程，</w:t>
      </w:r>
      <w:r>
        <w:rPr>
          <w:rFonts w:hint="eastAsia" w:ascii="宋体" w:hAnsi="宋体" w:eastAsia="宋体" w:cs="宋体"/>
          <w:b w:val="0"/>
          <w:bCs/>
          <w:color w:val="auto"/>
          <w:sz w:val="28"/>
          <w:szCs w:val="28"/>
          <w:highlight w:val="none"/>
          <w:u w:val="none"/>
        </w:rPr>
        <w:t>单体建筑结构类型分为五个分区，其中 A、E 区为钢管混凝土框架结构，层数为一层；B、C、D 中间区域结构部分采用框架剪力墙结构，层数为 5 层。</w:t>
      </w:r>
      <w:r>
        <w:rPr>
          <w:rFonts w:hint="eastAsia" w:ascii="宋体" w:hAnsi="宋体" w:eastAsia="宋体" w:cs="宋体"/>
          <w:b w:val="0"/>
          <w:bCs/>
          <w:color w:val="auto"/>
          <w:sz w:val="28"/>
          <w:szCs w:val="28"/>
          <w:highlight w:val="none"/>
          <w:u w:val="none"/>
          <w:lang w:val="en-US" w:eastAsia="zh-CN"/>
        </w:rPr>
        <w:t>D地下车库层高5.7m、</w:t>
      </w:r>
      <w:r>
        <w:rPr>
          <w:rFonts w:hint="eastAsia" w:ascii="宋体" w:hAnsi="宋体" w:eastAsia="宋体" w:cs="宋体"/>
          <w:b w:val="0"/>
          <w:bCs/>
          <w:color w:val="auto"/>
          <w:sz w:val="28"/>
          <w:szCs w:val="28"/>
          <w:highlight w:val="none"/>
          <w:u w:val="none"/>
          <w:lang w:eastAsia="zh-CN"/>
        </w:rPr>
        <w:t>一层层高</w:t>
      </w:r>
      <w:r>
        <w:rPr>
          <w:rFonts w:hint="eastAsia" w:ascii="宋体" w:hAnsi="宋体" w:eastAsia="宋体" w:cs="宋体"/>
          <w:b w:val="0"/>
          <w:bCs/>
          <w:color w:val="auto"/>
          <w:sz w:val="28"/>
          <w:szCs w:val="28"/>
          <w:highlight w:val="none"/>
          <w:u w:val="none"/>
          <w:lang w:val="en-US" w:eastAsia="zh-CN"/>
        </w:rPr>
        <w:t>5.4m二层4.5m、三层四层层高4.0m,五层4.5m</w:t>
      </w:r>
      <w:r>
        <w:rPr>
          <w:rFonts w:hint="eastAsia" w:ascii="宋体" w:hAnsi="宋体" w:eastAsia="宋体" w:cs="宋体"/>
          <w:b w:val="0"/>
          <w:bCs/>
          <w:color w:val="auto"/>
          <w:sz w:val="28"/>
          <w:szCs w:val="28"/>
          <w:highlight w:val="none"/>
          <w:u w:val="none"/>
        </w:rPr>
        <w:t>总建筑面积约约 22500平方米。结构全长约 218.9 米，宽 50.32 米，高 22.9 米，最大跨度40米，地上建筑面积 18500 平方米，地下建筑面积4000平方米。</w:t>
      </w:r>
    </w:p>
    <w:p>
      <w:pPr>
        <w:spacing w:line="40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eastAsia="zh-CN"/>
        </w:rPr>
        <w:t>山东省临沂卫生学校扩建项目图书信息综合楼工程-YT保温采购项目</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包含车库顶板保温、外墙外保温、外墙内保温等，</w:t>
      </w:r>
      <w:r>
        <w:rPr>
          <w:rFonts w:hint="eastAsia" w:ascii="宋体" w:hAnsi="宋体" w:eastAsia="宋体" w:cs="宋体"/>
          <w:color w:val="auto"/>
          <w:kern w:val="0"/>
          <w:sz w:val="28"/>
          <w:szCs w:val="28"/>
          <w:highlight w:val="none"/>
        </w:rPr>
        <w:t>具体内容以工程量清单及设计施工图纸内容为准。</w:t>
      </w:r>
    </w:p>
    <w:p>
      <w:pPr>
        <w:spacing w:line="400" w:lineRule="exact"/>
        <w:ind w:firstLine="840" w:firstLineChars="300"/>
        <w:rPr>
          <w:rFonts w:hint="eastAsia" w:ascii="宋体" w:hAnsi="宋体" w:eastAsia="宋体" w:cs="宋体"/>
          <w:color w:val="auto"/>
          <w:sz w:val="28"/>
          <w:szCs w:val="28"/>
          <w:highlight w:val="none"/>
          <w:lang w:eastAsia="zh-CN"/>
        </w:rPr>
      </w:pPr>
      <w:r>
        <w:rPr>
          <w:rFonts w:hint="eastAsia" w:ascii="宋体" w:hAnsi="宋体" w:cs="宋体"/>
          <w:color w:val="auto"/>
          <w:kern w:val="0"/>
          <w:sz w:val="28"/>
          <w:szCs w:val="28"/>
          <w:highlight w:val="none"/>
          <w:lang w:eastAsia="zh-CN"/>
        </w:rPr>
        <w:t>本项目施工采用全费用单价，工程量据实结算。</w:t>
      </w:r>
    </w:p>
    <w:p>
      <w:pPr>
        <w:tabs>
          <w:tab w:val="left" w:pos="0"/>
        </w:tabs>
        <w:spacing w:line="460" w:lineRule="exact"/>
        <w:ind w:firstLine="560" w:firstLineChars="200"/>
        <w:rPr>
          <w:rFonts w:ascii="宋体" w:hAnsi="宋体" w:cs="仿宋"/>
          <w:bCs/>
          <w:color w:val="auto"/>
          <w:sz w:val="28"/>
          <w:szCs w:val="28"/>
          <w:highlight w:val="none"/>
        </w:rPr>
      </w:pPr>
      <w:r>
        <w:rPr>
          <w:rFonts w:hint="eastAsia" w:ascii="宋体" w:hAnsi="宋体" w:cs="仿宋"/>
          <w:bCs/>
          <w:color w:val="auto"/>
          <w:sz w:val="28"/>
          <w:szCs w:val="28"/>
          <w:highlight w:val="none"/>
        </w:rPr>
        <w:t>3、</w:t>
      </w:r>
      <w:r>
        <w:rPr>
          <w:rFonts w:hint="eastAsia" w:ascii="宋体" w:hAnsi="宋体" w:cs="仿宋"/>
          <w:bCs/>
          <w:color w:val="auto"/>
          <w:sz w:val="28"/>
          <w:szCs w:val="28"/>
          <w:highlight w:val="none"/>
          <w:lang w:val="en-US" w:eastAsia="zh-CN"/>
        </w:rPr>
        <w:t>施工</w:t>
      </w:r>
      <w:r>
        <w:rPr>
          <w:rFonts w:hint="eastAsia" w:ascii="宋体" w:hAnsi="宋体" w:cs="仿宋"/>
          <w:bCs/>
          <w:color w:val="auto"/>
          <w:sz w:val="28"/>
          <w:szCs w:val="28"/>
          <w:highlight w:val="none"/>
        </w:rPr>
        <w:t>地点：临沂市兰山区聚财六路与临西九路交汇西南院内图书信息综合楼。</w:t>
      </w:r>
    </w:p>
    <w:p>
      <w:pPr>
        <w:spacing w:line="4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w:t>
      </w:r>
      <w:r>
        <w:rPr>
          <w:rFonts w:hint="eastAsia" w:ascii="宋体" w:hAnsi="宋体"/>
          <w:color w:val="auto"/>
          <w:sz w:val="28"/>
          <w:szCs w:val="28"/>
          <w:highlight w:val="none"/>
          <w:lang w:val="en-US" w:eastAsia="zh-CN"/>
        </w:rPr>
        <w:t>工</w:t>
      </w:r>
      <w:r>
        <w:rPr>
          <w:rFonts w:hint="eastAsia" w:ascii="宋体" w:hAnsi="宋体"/>
          <w:color w:val="auto"/>
          <w:sz w:val="28"/>
          <w:szCs w:val="28"/>
          <w:highlight w:val="none"/>
        </w:rPr>
        <w:t>期：</w:t>
      </w:r>
      <w:r>
        <w:rPr>
          <w:rFonts w:hint="eastAsia" w:asciiTheme="minorEastAsia" w:hAnsiTheme="minorEastAsia" w:eastAsiaTheme="minorEastAsia" w:cstheme="minorEastAsia"/>
          <w:bCs/>
          <w:color w:val="auto"/>
          <w:sz w:val="28"/>
          <w:szCs w:val="28"/>
          <w:highlight w:val="none"/>
          <w:lang w:val="en-US" w:eastAsia="zh-CN"/>
        </w:rPr>
        <w:t>35日历天</w:t>
      </w:r>
      <w:r>
        <w:rPr>
          <w:rFonts w:hint="eastAsia" w:ascii="宋体" w:hAnsi="宋体"/>
          <w:color w:val="auto"/>
          <w:sz w:val="28"/>
          <w:szCs w:val="28"/>
          <w:highlight w:val="none"/>
        </w:rPr>
        <w:t>。</w:t>
      </w:r>
    </w:p>
    <w:p>
      <w:pPr>
        <w:spacing w:line="460" w:lineRule="exact"/>
        <w:ind w:firstLine="562" w:firstLineChars="200"/>
        <w:rPr>
          <w:rFonts w:hint="eastAsia" w:asciiTheme="minorEastAsia" w:hAnsiTheme="minorEastAsia" w:eastAsiaTheme="minorEastAsia" w:cstheme="minorEastAsia"/>
          <w:b/>
          <w:bCs/>
          <w:color w:val="auto"/>
          <w:sz w:val="28"/>
          <w:szCs w:val="28"/>
          <w:highlight w:val="none"/>
          <w:lang w:val="en-US" w:eastAsia="zh-CN"/>
        </w:rPr>
      </w:pPr>
      <w:r>
        <w:rPr>
          <w:rFonts w:hint="eastAsia" w:ascii="宋体" w:hAnsi="宋体"/>
          <w:b/>
          <w:bCs/>
          <w:color w:val="auto"/>
          <w:sz w:val="28"/>
          <w:szCs w:val="28"/>
          <w:highlight w:val="none"/>
        </w:rPr>
        <w:t>5、质保期：</w:t>
      </w:r>
      <w:r>
        <w:rPr>
          <w:rFonts w:hint="eastAsia" w:asciiTheme="minorEastAsia" w:hAnsiTheme="minorEastAsia" w:eastAsiaTheme="minorEastAsia" w:cstheme="minorEastAsia"/>
          <w:b/>
          <w:bCs/>
          <w:color w:val="auto"/>
          <w:sz w:val="28"/>
          <w:szCs w:val="28"/>
          <w:highlight w:val="none"/>
          <w:lang w:val="en-US" w:eastAsia="zh-CN"/>
        </w:rPr>
        <w:t>五年，外保温工程正常使用年限不少于25年。</w:t>
      </w:r>
    </w:p>
    <w:p>
      <w:pPr>
        <w:spacing w:line="4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6.</w:t>
      </w:r>
      <w:r>
        <w:rPr>
          <w:rFonts w:hint="eastAsia" w:ascii="宋体" w:hAnsi="宋体"/>
          <w:b/>
          <w:bCs/>
          <w:color w:val="auto"/>
          <w:sz w:val="28"/>
          <w:szCs w:val="28"/>
          <w:highlight w:val="none"/>
          <w:lang w:val="en-US" w:eastAsia="zh-CN"/>
        </w:rPr>
        <w:t>质量及验收标准：</w:t>
      </w:r>
      <w:r>
        <w:rPr>
          <w:rFonts w:hint="eastAsia" w:asciiTheme="minorEastAsia" w:hAnsiTheme="minorEastAsia" w:eastAsiaTheme="minorEastAsia" w:cstheme="minorEastAsia"/>
          <w:b/>
          <w:bCs/>
          <w:color w:val="auto"/>
          <w:sz w:val="28"/>
          <w:szCs w:val="28"/>
          <w:highlight w:val="none"/>
          <w:lang w:val="en-US" w:eastAsia="zh-CN"/>
        </w:rPr>
        <w:t>执行国家现行标准及做法要求，达到国家有关验收规范规定的市优标准。YT保温材料防火等级满足A级防火要求。</w:t>
      </w:r>
    </w:p>
    <w:p>
      <w:pPr>
        <w:spacing w:line="460" w:lineRule="exact"/>
        <w:ind w:firstLine="562" w:firstLineChars="200"/>
        <w:rPr>
          <w:rFonts w:hint="eastAsia" w:ascii="宋体" w:hAnsi="宋体" w:cs="宋体"/>
          <w:b/>
          <w:bCs/>
          <w:color w:val="auto"/>
          <w:kern w:val="0"/>
          <w:sz w:val="28"/>
          <w:szCs w:val="28"/>
          <w:highlight w:val="none"/>
          <w:lang w:val="en-US" w:eastAsia="zh-CN"/>
        </w:rPr>
      </w:pPr>
      <w:r>
        <w:rPr>
          <w:rFonts w:hint="eastAsia" w:ascii="宋体" w:hAnsi="宋体"/>
          <w:b/>
          <w:bCs/>
          <w:color w:val="auto"/>
          <w:sz w:val="28"/>
          <w:szCs w:val="28"/>
          <w:highlight w:val="none"/>
          <w:lang w:val="en-US" w:eastAsia="zh-CN"/>
        </w:rPr>
        <w:t>7</w:t>
      </w:r>
      <w:r>
        <w:rPr>
          <w:rFonts w:hint="eastAsia" w:ascii="宋体" w:hAnsi="宋体"/>
          <w:b/>
          <w:bCs/>
          <w:color w:val="auto"/>
          <w:sz w:val="28"/>
          <w:szCs w:val="28"/>
          <w:highlight w:val="none"/>
        </w:rPr>
        <w:t>、本项目招标最高控制价</w:t>
      </w:r>
      <w:r>
        <w:rPr>
          <w:rFonts w:hint="eastAsia" w:ascii="宋体" w:hAnsi="宋体"/>
          <w:b/>
          <w:bCs/>
          <w:color w:val="auto"/>
          <w:sz w:val="28"/>
          <w:szCs w:val="28"/>
          <w:highlight w:val="none"/>
          <w:lang w:val="en-US" w:eastAsia="zh-CN"/>
        </w:rPr>
        <w:t>268.48</w:t>
      </w:r>
      <w:r>
        <w:rPr>
          <w:rFonts w:hint="eastAsia" w:ascii="宋体" w:hAnsi="宋体"/>
          <w:b/>
          <w:bCs/>
          <w:color w:val="auto"/>
          <w:sz w:val="28"/>
          <w:szCs w:val="28"/>
          <w:highlight w:val="none"/>
        </w:rPr>
        <w:t>万元</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lang w:val="en-US" w:eastAsia="zh-CN"/>
        </w:rPr>
        <w:t>全费用</w:t>
      </w:r>
      <w:r>
        <w:rPr>
          <w:rFonts w:hint="eastAsia" w:ascii="宋体" w:hAnsi="宋体"/>
          <w:b/>
          <w:bCs/>
          <w:color w:val="auto"/>
          <w:sz w:val="28"/>
          <w:szCs w:val="28"/>
          <w:highlight w:val="none"/>
          <w:lang w:eastAsia="zh-CN"/>
        </w:rPr>
        <w:t>），</w:t>
      </w:r>
      <w:r>
        <w:rPr>
          <w:rFonts w:hint="eastAsia" w:ascii="宋体" w:hAnsi="宋体"/>
          <w:b/>
          <w:bCs/>
          <w:color w:val="auto"/>
          <w:sz w:val="28"/>
          <w:szCs w:val="28"/>
          <w:highlight w:val="none"/>
        </w:rPr>
        <w:t>供应商的报价必须在最高控制价以内，</w:t>
      </w:r>
      <w:r>
        <w:rPr>
          <w:rFonts w:hint="eastAsia" w:ascii="宋体" w:hAnsi="宋体" w:cs="宋体"/>
          <w:b/>
          <w:bCs/>
          <w:color w:val="auto"/>
          <w:kern w:val="0"/>
          <w:sz w:val="28"/>
          <w:szCs w:val="28"/>
          <w:highlight w:val="none"/>
          <w:lang w:val="en-US" w:eastAsia="zh-CN"/>
        </w:rPr>
        <w:t>如有分（单）项招标控制价的，也必须在各分（单）项招标控制价以内报价，否则作废标（无效标）处理；</w:t>
      </w:r>
    </w:p>
    <w:p>
      <w:pPr>
        <w:pStyle w:val="2"/>
        <w:rPr>
          <w:rFonts w:hint="default"/>
          <w:b/>
          <w:bCs/>
          <w:lang w:val="en-US" w:eastAsia="zh-CN"/>
        </w:rPr>
      </w:pPr>
      <w:r>
        <w:rPr>
          <w:rFonts w:hint="eastAsia" w:ascii="宋体" w:hAnsi="宋体" w:cs="宋体"/>
          <w:b/>
          <w:bCs/>
          <w:color w:val="auto"/>
          <w:kern w:val="0"/>
          <w:sz w:val="28"/>
          <w:szCs w:val="28"/>
          <w:highlight w:val="none"/>
          <w:lang w:val="en-US" w:eastAsia="zh-CN"/>
        </w:rPr>
        <w:t xml:space="preserve">   8、外墙保温施工各项材料抽检试验、现场检测、节能检测验收应符合要求及有关规定，并服从发包人、建设单位、监理单位的管理，接受工程质量监督部门的检查、验收，工程施工完成应提供不少于4套竣工验收资料（含完整的电子版）。施工质量、资料整理应严格符合本工程创奖要求，负责按违约处理。</w:t>
      </w:r>
    </w:p>
    <w:p>
      <w:pPr>
        <w:pStyle w:val="3"/>
        <w:spacing w:line="360" w:lineRule="auto"/>
        <w:ind w:firstLine="281" w:firstLineChars="100"/>
        <w:jc w:val="both"/>
        <w:rPr>
          <w:rFonts w:hint="eastAsia" w:ascii="宋体" w:hAnsi="宋体" w:eastAsia="宋体" w:cs="宋体"/>
          <w:b/>
          <w:bCs/>
          <w:color w:val="auto"/>
          <w:kern w:val="44"/>
          <w:sz w:val="28"/>
          <w:szCs w:val="28"/>
          <w:highlight w:val="none"/>
          <w:lang w:val="en-US" w:eastAsia="zh-CN"/>
        </w:rPr>
      </w:pPr>
      <w:r>
        <w:rPr>
          <w:rFonts w:hint="eastAsia" w:ascii="宋体" w:hAnsi="宋体" w:eastAsia="宋体" w:cs="宋体"/>
          <w:color w:val="auto"/>
          <w:sz w:val="28"/>
          <w:szCs w:val="28"/>
          <w:highlight w:val="none"/>
        </w:rPr>
        <w:t>（二）技术规格及要求</w:t>
      </w:r>
      <w:bookmarkStart w:id="19" w:name="_Toc197224486"/>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YT无机活性保温材料内墙外墙</w:t>
      </w:r>
      <w:r>
        <w:rPr>
          <w:rFonts w:hint="eastAsia" w:ascii="宋体" w:hAnsi="宋体" w:eastAsia="宋体" w:cs="宋体"/>
          <w:color w:val="auto"/>
          <w:sz w:val="28"/>
          <w:szCs w:val="28"/>
          <w:highlight w:val="none"/>
          <w:lang w:eastAsia="zh-CN"/>
        </w:rPr>
        <w:t>施工要求</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01、施工准备</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施工前基层墙体应将基层墙面的</w:t>
      </w:r>
      <w:r>
        <w:rPr>
          <w:rFonts w:hint="eastAsia" w:ascii="宋体" w:hAnsi="宋体" w:eastAsia="宋体" w:cs="宋体"/>
          <w:color w:val="auto"/>
          <w:sz w:val="28"/>
          <w:szCs w:val="28"/>
          <w:highlight w:val="none"/>
          <w:lang w:eastAsia="zh-CN"/>
        </w:rPr>
        <w:t>灰渣、</w:t>
      </w:r>
      <w:r>
        <w:rPr>
          <w:rFonts w:hint="eastAsia" w:ascii="宋体" w:hAnsi="宋体" w:eastAsia="宋体" w:cs="宋体"/>
          <w:color w:val="auto"/>
          <w:sz w:val="28"/>
          <w:szCs w:val="28"/>
          <w:highlight w:val="none"/>
        </w:rPr>
        <w:t>污垢、油渍等清洗干净</w:t>
      </w:r>
      <w:r>
        <w:rPr>
          <w:rFonts w:hint="eastAsia" w:ascii="宋体" w:hAnsi="宋体" w:eastAsia="宋体" w:cs="宋体"/>
          <w:color w:val="auto"/>
          <w:sz w:val="28"/>
          <w:szCs w:val="28"/>
          <w:highlight w:val="none"/>
          <w:lang w:eastAsia="zh-CN"/>
        </w:rPr>
        <w:t>，外墙模板加固眼、架眼封堵密实，无贯通性缝隙，对砼梁柱鼓模部位要提前剔凿处理，</w:t>
      </w:r>
      <w:r>
        <w:rPr>
          <w:rFonts w:hint="eastAsia" w:ascii="宋体" w:hAnsi="宋体" w:eastAsia="宋体" w:cs="宋体"/>
          <w:color w:val="auto"/>
          <w:sz w:val="28"/>
          <w:szCs w:val="28"/>
          <w:highlight w:val="none"/>
        </w:rPr>
        <w:t>表面</w:t>
      </w:r>
      <w:r>
        <w:rPr>
          <w:rFonts w:hint="eastAsia" w:ascii="宋体" w:hAnsi="宋体" w:eastAsia="宋体" w:cs="宋体"/>
          <w:color w:val="auto"/>
          <w:sz w:val="28"/>
          <w:szCs w:val="28"/>
          <w:highlight w:val="none"/>
          <w:lang w:eastAsia="zh-CN"/>
        </w:rPr>
        <w:t>垂直、</w:t>
      </w:r>
      <w:r>
        <w:rPr>
          <w:rFonts w:hint="eastAsia" w:ascii="宋体" w:hAnsi="宋体" w:eastAsia="宋体" w:cs="宋体"/>
          <w:color w:val="auto"/>
          <w:sz w:val="28"/>
          <w:szCs w:val="28"/>
          <w:highlight w:val="none"/>
        </w:rPr>
        <w:t>平整</w:t>
      </w:r>
      <w:r>
        <w:rPr>
          <w:rFonts w:hint="eastAsia" w:ascii="宋体" w:hAnsi="宋体" w:eastAsia="宋体" w:cs="宋体"/>
          <w:color w:val="auto"/>
          <w:sz w:val="28"/>
          <w:szCs w:val="28"/>
          <w:highlight w:val="none"/>
          <w:lang w:eastAsia="zh-CN"/>
        </w:rPr>
        <w:t>度符合要求；砼、填充墙砌体工程质量验收要求</w:t>
      </w:r>
      <w:r>
        <w:rPr>
          <w:rFonts w:hint="eastAsia" w:ascii="宋体" w:hAnsi="宋体" w:eastAsia="宋体" w:cs="宋体"/>
          <w:color w:val="auto"/>
          <w:sz w:val="28"/>
          <w:szCs w:val="28"/>
          <w:highlight w:val="none"/>
        </w:rPr>
        <w:t>。经</w:t>
      </w:r>
      <w:r>
        <w:rPr>
          <w:rFonts w:hint="eastAsia" w:ascii="宋体" w:hAnsi="宋体" w:eastAsia="宋体" w:cs="宋体"/>
          <w:color w:val="auto"/>
          <w:sz w:val="28"/>
          <w:szCs w:val="28"/>
          <w:highlight w:val="none"/>
          <w:lang w:eastAsia="zh-CN"/>
        </w:rPr>
        <w:t>建设、监理、施工总承包方、保温施工单位验收符合图纸设计及质量验收要求，</w:t>
      </w:r>
      <w:r>
        <w:rPr>
          <w:rFonts w:hint="eastAsia" w:ascii="宋体" w:hAnsi="宋体" w:eastAsia="宋体" w:cs="宋体"/>
          <w:color w:val="auto"/>
          <w:sz w:val="28"/>
          <w:szCs w:val="28"/>
          <w:highlight w:val="none"/>
        </w:rPr>
        <w:t>达到</w:t>
      </w:r>
      <w:r>
        <w:rPr>
          <w:rFonts w:hint="eastAsia" w:ascii="宋体" w:hAnsi="宋体" w:eastAsia="宋体" w:cs="宋体"/>
          <w:color w:val="auto"/>
          <w:sz w:val="28"/>
          <w:szCs w:val="28"/>
          <w:highlight w:val="none"/>
          <w:lang w:eastAsia="zh-CN"/>
        </w:rPr>
        <w:t>施工条件后进行保温工程施工。</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02、施工要点</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 级不燃 YT 无机活性墙体隔热保温材料配置按照产品与水重量比 1：1.3的比例，放置搅拌机搅拌 3－5 分钟达到适宜操作即可。A 级不燃 YT 无机活性墙体隔热保温绿色节能材料使用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先用清水将基面墙面的灰尘和油污处理干净并达到适度湿润后，将搅拌好的产品直接批抹于基层墙体上或已施工过的水泥砂浆面上。第一遍均匀密实将墙体覆盖厚度在 5-10mm 左右，当第一遍材料的含水率大约在 60％时，可进行第二遍批抹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批抹厚度掌握在 15－20mm 之间。达到粘结牢固、不空鼓、不开裂。</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A 级不燃 YT </w:t>
      </w:r>
      <w:r>
        <w:rPr>
          <w:rFonts w:hint="eastAsia" w:ascii="宋体" w:hAnsi="宋体" w:eastAsia="宋体" w:cs="宋体"/>
          <w:color w:val="auto"/>
          <w:sz w:val="28"/>
          <w:szCs w:val="28"/>
          <w:highlight w:val="none"/>
          <w:lang w:val="en-US" w:eastAsia="zh-CN"/>
        </w:rPr>
        <w:t xml:space="preserve"> 保温砂浆</w:t>
      </w:r>
      <w:r>
        <w:rPr>
          <w:rFonts w:hint="eastAsia" w:ascii="宋体" w:hAnsi="宋体" w:eastAsia="宋体" w:cs="宋体"/>
          <w:color w:val="auto"/>
          <w:sz w:val="28"/>
          <w:szCs w:val="28"/>
          <w:highlight w:val="none"/>
        </w:rPr>
        <w:t>施工厚度在 20mm 内可一次性批抹完成，材料厚度在 30mm 内可二次批抹完成，</w:t>
      </w:r>
      <w:r>
        <w:rPr>
          <w:rFonts w:hint="eastAsia" w:ascii="宋体" w:hAnsi="宋体" w:eastAsia="宋体" w:cs="宋体"/>
          <w:color w:val="auto"/>
          <w:sz w:val="28"/>
          <w:szCs w:val="28"/>
          <w:highlight w:val="none"/>
          <w:lang w:eastAsia="zh-CN"/>
        </w:rPr>
        <w:t>涂抹厚度在</w:t>
      </w:r>
      <w:r>
        <w:rPr>
          <w:rFonts w:hint="eastAsia" w:ascii="宋体" w:hAnsi="宋体" w:eastAsia="宋体" w:cs="宋体"/>
          <w:color w:val="auto"/>
          <w:sz w:val="28"/>
          <w:szCs w:val="28"/>
          <w:highlight w:val="none"/>
          <w:lang w:val="en-US" w:eastAsia="zh-CN"/>
        </w:rPr>
        <w:t>50mm分三次涂刮，施工前根据施工厚度，打点挂通线施工。门窗洞口尺寸应符合要求，拉通线控制洞口顺直度、洞口宽度、高度。</w:t>
      </w:r>
    </w:p>
    <w:p>
      <w:pPr>
        <w:ind w:firstLine="280" w:firstLineChars="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初凝时间为 3-4 小时左右，全部工序当天完成，15天后便可做涂料饰面。若基层墙体为混凝土剪力墙时，使用无机活性保温材料需提前一天做常规界面砂浆甩浆处理，剪力</w:t>
      </w:r>
      <w:r>
        <w:rPr>
          <w:rFonts w:hint="eastAsia" w:ascii="宋体" w:hAnsi="宋体" w:eastAsia="宋体" w:cs="宋体"/>
          <w:color w:val="auto"/>
          <w:sz w:val="28"/>
          <w:szCs w:val="28"/>
          <w:highlight w:val="none"/>
          <w:lang w:eastAsia="zh-CN"/>
        </w:rPr>
        <w:t>墙</w:t>
      </w:r>
      <w:r>
        <w:rPr>
          <w:rFonts w:hint="eastAsia" w:ascii="宋体" w:hAnsi="宋体" w:eastAsia="宋体" w:cs="宋体"/>
          <w:color w:val="auto"/>
          <w:sz w:val="28"/>
          <w:szCs w:val="28"/>
          <w:highlight w:val="none"/>
        </w:rPr>
        <w:t>接逢处挂网（玻纤网或镀锌钢丝网），</w:t>
      </w:r>
    </w:p>
    <w:p>
      <w:pPr>
        <w:pStyle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03：YT保温层批抹完成层、面层实测项目垂直、平整、阴阳角顺直等实测项目应满足相关质量验收规范要求。造型、突出墙面柱应顺直、圆弧部位弧度符合设计及弧度要求。滴水条做法应符合工艺做法要求，滴水条、界条应采用熟质塑料界条。</w:t>
      </w:r>
    </w:p>
    <w:p>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04、地下车库顶板保温：要求基层错台、板缝处理要彻底，无油污现象，底板保温厚度30mm，分二遍抹灰完成，要求保温层顶板平整、阴阳角顺直。表面满铺玻纤网且玻纤网接头搭接长度应满足100mm规范要求。</w:t>
      </w:r>
    </w:p>
    <w:p>
      <w:pPr>
        <w:pStyle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05、外墙内侧、变形缝内侧墙体：50mmYT保温浆料，分遍批抹，面层找平、找直后压入160g/㎡外墙耐碱玻纤网，要求玻纤网不能外露。</w:t>
      </w:r>
    </w:p>
    <w:p>
      <w:pPr>
        <w:pStyle w:val="2"/>
        <w:numPr>
          <w:ilvl w:val="0"/>
          <w:numId w:val="11"/>
        </w:numPr>
        <w:ind w:left="105"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外墙保温设计要求：</w:t>
      </w:r>
    </w:p>
    <w:p>
      <w:pPr>
        <w:numPr>
          <w:ilvl w:val="0"/>
          <w:numId w:val="12"/>
        </w:numPr>
        <w:ind w:left="105"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外墙保温系统：，耐火等级A级YT保温砂浆，外墙外侧50mmYT保温浆料、外墙内侧40mM厚保温砂浆。</w:t>
      </w:r>
    </w:p>
    <w:p>
      <w:pPr>
        <w:pStyle w:val="2"/>
        <w:numPr>
          <w:ilvl w:val="0"/>
          <w:numId w:val="12"/>
        </w:num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地下车库与供暖房间之间楼板30mm厚保温砂浆由保温施工单位施工。板上20mm厚挤塑保温板由土建单位施工。</w:t>
      </w:r>
    </w:p>
    <w:p>
      <w:pPr>
        <w:numPr>
          <w:ilvl w:val="0"/>
          <w:numId w:val="12"/>
        </w:numPr>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变形缝两侧内墙：50mm厚YT保温砂浆，分遍施工。</w:t>
      </w:r>
    </w:p>
    <w:p>
      <w:pPr>
        <w:pStyle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（4）女儿墙内侧及外墙外挑檐板立面底面抹30mm保温砂浆</w:t>
      </w:r>
    </w:p>
    <w:p>
      <w:pPr>
        <w:pStyle w:val="2"/>
        <w:numPr>
          <w:ilvl w:val="0"/>
          <w:numId w:val="12"/>
        </w:numPr>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外墙玻纤网为外墙专用玻纤网，密度为160g/㎡。</w:t>
      </w:r>
    </w:p>
    <w:p>
      <w:pPr>
        <w:numPr>
          <w:ilvl w:val="0"/>
          <w:numId w:val="12"/>
        </w:numPr>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外窗</w:t>
      </w:r>
      <w:r>
        <w:rPr>
          <w:rFonts w:hint="eastAsia" w:ascii="宋体" w:hAnsi="宋体" w:cs="宋体"/>
          <w:color w:val="auto"/>
          <w:sz w:val="28"/>
          <w:szCs w:val="28"/>
          <w:highlight w:val="none"/>
          <w:lang w:val="en-US" w:eastAsia="zh-CN"/>
        </w:rPr>
        <w:t>外门（以中心线</w:t>
      </w:r>
      <w:bookmarkStart w:id="21" w:name="_GoBack"/>
      <w:bookmarkEnd w:id="21"/>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外侧由保温公司施工。</w:t>
      </w:r>
      <w:r>
        <w:rPr>
          <w:rFonts w:hint="eastAsia" w:ascii="宋体" w:hAnsi="宋体" w:cs="宋体"/>
          <w:color w:val="auto"/>
          <w:sz w:val="28"/>
          <w:szCs w:val="28"/>
          <w:highlight w:val="none"/>
          <w:lang w:val="en-US" w:eastAsia="zh-CN"/>
        </w:rPr>
        <w:t>外墙内侧除门窗台外由保温公司施工，外窗内侧窗台（外窗外侧型材边为准）台由土建项目做启口抹灰施工。</w:t>
      </w:r>
    </w:p>
    <w:p>
      <w:pPr>
        <w:pStyle w:val="2"/>
        <w:numPr>
          <w:ilvl w:val="0"/>
          <w:numId w:val="11"/>
        </w:numPr>
        <w:ind w:left="105" w:leftChars="0" w:right="0" w:righ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质量验收要求：</w:t>
      </w:r>
    </w:p>
    <w:p>
      <w:pPr>
        <w:numPr>
          <w:ilvl w:val="0"/>
          <w:numId w:val="13"/>
        </w:numPr>
        <w:ind w:left="105" w:lef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外墙保温砂浆施工前应对墙面的架眼、模板加固眼填塞密实。</w:t>
      </w:r>
    </w:p>
    <w:p>
      <w:pPr>
        <w:pStyle w:val="2"/>
        <w:numPr>
          <w:ilvl w:val="0"/>
          <w:numId w:val="13"/>
        </w:num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外墙外窗窗榜抹30mm保温砂浆、窗台处做启口，内高外底，窗内侧扫浆抹水泥砂浆、窗外侧抹保温浆料找坡。</w:t>
      </w:r>
    </w:p>
    <w:p>
      <w:pPr>
        <w:numPr>
          <w:ilvl w:val="0"/>
          <w:numId w:val="13"/>
        </w:numPr>
        <w:ind w:left="0" w:leftChars="0"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外墙保温线条要求顺直，阴阳角方正，墙面垂直、平整度因达到规范要求。外墙面保温砂浆批刮厚度及分遍次数应符合施工工艺要求，各层结合牢固、无空鼓。玻纤网铺贴满挂、搭接长度应符合要求，抹面砂浆厚度应符合验收要求。</w:t>
      </w:r>
    </w:p>
    <w:p>
      <w:pPr>
        <w:pStyle w:val="2"/>
        <w:numPr>
          <w:ilvl w:val="0"/>
          <w:numId w:val="0"/>
        </w:numPr>
        <w:ind w:leftChars="0" w:right="0" w:rightChars="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（4）外墙保温原材料送检次数、现场检测、见证比例应符合质量验收规定及监督部门要求。</w:t>
      </w:r>
    </w:p>
    <w:p>
      <w:pPr>
        <w:tabs>
          <w:tab w:val="left" w:pos="836"/>
        </w:tabs>
        <w:spacing w:line="500" w:lineRule="exact"/>
        <w:jc w:val="both"/>
        <w:rPr>
          <w:rFonts w:hint="eastAsia" w:ascii="宋体" w:hAnsi="宋体" w:eastAsia="宋体" w:cs="宋体"/>
          <w:b/>
          <w:bCs/>
          <w:color w:val="auto"/>
          <w:kern w:val="44"/>
          <w:sz w:val="28"/>
          <w:szCs w:val="28"/>
          <w:highlight w:val="none"/>
          <w:lang w:val="en-US" w:eastAsia="zh-CN"/>
        </w:rPr>
      </w:pPr>
      <w:r>
        <w:rPr>
          <w:rFonts w:hint="eastAsia" w:ascii="宋体" w:hAnsi="宋体" w:eastAsia="宋体" w:cs="宋体"/>
          <w:color w:val="auto"/>
          <w:sz w:val="28"/>
          <w:szCs w:val="28"/>
          <w:highlight w:val="none"/>
          <w:lang w:eastAsia="zh-CN"/>
        </w:rPr>
        <w:t>施工单位应提供不少于</w:t>
      </w:r>
      <w:r>
        <w:rPr>
          <w:rFonts w:hint="eastAsia" w:ascii="宋体" w:hAnsi="宋体" w:eastAsia="宋体" w:cs="宋体"/>
          <w:color w:val="auto"/>
          <w:sz w:val="28"/>
          <w:szCs w:val="28"/>
          <w:highlight w:val="none"/>
          <w:lang w:val="en-US" w:eastAsia="zh-CN"/>
        </w:rPr>
        <w:t>4套工程竣工验收存档资料，（并提供电子版全套资料）</w:t>
      </w:r>
    </w:p>
    <w:p>
      <w:pPr>
        <w:tabs>
          <w:tab w:val="left" w:pos="836"/>
        </w:tabs>
        <w:spacing w:line="500" w:lineRule="exact"/>
        <w:jc w:val="both"/>
        <w:rPr>
          <w:rFonts w:hint="eastAsia" w:ascii="Cambria" w:hAnsi="Cambria"/>
          <w:b/>
          <w:bCs/>
          <w:color w:val="auto"/>
          <w:kern w:val="44"/>
          <w:sz w:val="28"/>
          <w:szCs w:val="28"/>
          <w:highlight w:val="none"/>
          <w:lang w:val="en-US" w:eastAsia="zh-CN"/>
        </w:rPr>
      </w:pPr>
    </w:p>
    <w:p>
      <w:pPr>
        <w:pStyle w:val="23"/>
        <w:rPr>
          <w:rFonts w:hint="eastAsia" w:ascii="Cambria" w:hAnsi="Cambria"/>
          <w:b/>
          <w:bCs/>
          <w:color w:val="auto"/>
          <w:kern w:val="44"/>
          <w:sz w:val="28"/>
          <w:szCs w:val="28"/>
          <w:highlight w:val="none"/>
          <w:lang w:val="en-US" w:eastAsia="zh-CN"/>
        </w:rPr>
      </w:pPr>
    </w:p>
    <w:p>
      <w:pPr>
        <w:pStyle w:val="23"/>
        <w:rPr>
          <w:rFonts w:hint="eastAsia" w:ascii="Cambria" w:hAnsi="Cambria"/>
          <w:b/>
          <w:bCs/>
          <w:color w:val="auto"/>
          <w:kern w:val="44"/>
          <w:sz w:val="28"/>
          <w:szCs w:val="28"/>
          <w:highlight w:val="none"/>
          <w:lang w:val="en-US" w:eastAsia="zh-CN"/>
        </w:rPr>
      </w:pPr>
    </w:p>
    <w:p>
      <w:pPr>
        <w:pStyle w:val="23"/>
        <w:rPr>
          <w:rFonts w:hint="eastAsia" w:ascii="Cambria" w:hAnsi="Cambria"/>
          <w:b/>
          <w:bCs/>
          <w:color w:val="auto"/>
          <w:kern w:val="44"/>
          <w:sz w:val="28"/>
          <w:szCs w:val="28"/>
          <w:highlight w:val="none"/>
          <w:lang w:val="en-US" w:eastAsia="zh-CN"/>
        </w:rPr>
      </w:pPr>
    </w:p>
    <w:p>
      <w:pPr>
        <w:pStyle w:val="23"/>
        <w:rPr>
          <w:rFonts w:hint="eastAsia" w:ascii="Cambria" w:hAnsi="Cambria"/>
          <w:b/>
          <w:bCs/>
          <w:color w:val="auto"/>
          <w:kern w:val="44"/>
          <w:sz w:val="28"/>
          <w:szCs w:val="28"/>
          <w:highlight w:val="none"/>
          <w:lang w:val="en-US" w:eastAsia="zh-CN"/>
        </w:rPr>
      </w:pPr>
    </w:p>
    <w:p>
      <w:pPr>
        <w:pStyle w:val="23"/>
        <w:rPr>
          <w:rFonts w:hint="eastAsia" w:ascii="Cambria" w:hAnsi="Cambria"/>
          <w:b/>
          <w:bCs/>
          <w:color w:val="auto"/>
          <w:kern w:val="44"/>
          <w:sz w:val="28"/>
          <w:szCs w:val="28"/>
          <w:highlight w:val="none"/>
          <w:lang w:val="en-US" w:eastAsia="zh-CN"/>
        </w:rPr>
      </w:pPr>
    </w:p>
    <w:p>
      <w:pPr>
        <w:pStyle w:val="23"/>
        <w:rPr>
          <w:rFonts w:hint="eastAsia" w:ascii="Cambria" w:hAnsi="Cambria"/>
          <w:b/>
          <w:bCs/>
          <w:color w:val="auto"/>
          <w:kern w:val="44"/>
          <w:sz w:val="28"/>
          <w:szCs w:val="28"/>
          <w:highlight w:val="none"/>
          <w:lang w:val="en-US" w:eastAsia="zh-CN"/>
        </w:rPr>
      </w:pPr>
    </w:p>
    <w:p>
      <w:pPr>
        <w:pStyle w:val="23"/>
        <w:rPr>
          <w:rFonts w:hint="eastAsia" w:ascii="Cambria" w:hAnsi="Cambria"/>
          <w:b/>
          <w:bCs/>
          <w:color w:val="auto"/>
          <w:kern w:val="44"/>
          <w:sz w:val="28"/>
          <w:szCs w:val="28"/>
          <w:highlight w:val="none"/>
          <w:lang w:val="en-US" w:eastAsia="zh-CN"/>
        </w:rPr>
      </w:pPr>
    </w:p>
    <w:p>
      <w:pPr>
        <w:pStyle w:val="23"/>
        <w:rPr>
          <w:rFonts w:hint="eastAsia" w:ascii="Cambria" w:hAnsi="Cambria"/>
          <w:b/>
          <w:bCs/>
          <w:color w:val="auto"/>
          <w:kern w:val="44"/>
          <w:sz w:val="28"/>
          <w:szCs w:val="28"/>
          <w:highlight w:val="none"/>
          <w:lang w:val="en-US" w:eastAsia="zh-CN"/>
        </w:rPr>
      </w:pPr>
    </w:p>
    <w:p>
      <w:pPr>
        <w:pStyle w:val="23"/>
        <w:rPr>
          <w:rFonts w:hint="eastAsia" w:ascii="Cambria" w:hAnsi="Cambria"/>
          <w:b/>
          <w:bCs/>
          <w:color w:val="auto"/>
          <w:kern w:val="44"/>
          <w:sz w:val="28"/>
          <w:szCs w:val="28"/>
          <w:highlight w:val="none"/>
          <w:lang w:val="en-US" w:eastAsia="zh-CN"/>
        </w:rPr>
      </w:pPr>
    </w:p>
    <w:p>
      <w:pPr>
        <w:pStyle w:val="23"/>
        <w:rPr>
          <w:rFonts w:hint="eastAsia" w:ascii="Cambria" w:hAnsi="Cambria"/>
          <w:b/>
          <w:bCs/>
          <w:color w:val="auto"/>
          <w:kern w:val="44"/>
          <w:sz w:val="28"/>
          <w:szCs w:val="28"/>
          <w:highlight w:val="none"/>
          <w:lang w:val="en-US" w:eastAsia="zh-CN"/>
        </w:rPr>
      </w:pPr>
    </w:p>
    <w:p>
      <w:pPr>
        <w:pStyle w:val="23"/>
        <w:ind w:firstLine="1687" w:firstLineChars="600"/>
        <w:rPr>
          <w:rFonts w:hint="eastAsia"/>
          <w:color w:val="auto"/>
          <w:highlight w:val="none"/>
          <w:lang w:val="en-US" w:eastAsia="zh-CN"/>
        </w:rPr>
      </w:pPr>
      <w:r>
        <w:rPr>
          <w:rFonts w:hint="eastAsia" w:ascii="Cambria" w:hAnsi="Cambria"/>
          <w:b/>
          <w:bCs/>
          <w:color w:val="auto"/>
          <w:kern w:val="44"/>
          <w:sz w:val="28"/>
          <w:szCs w:val="28"/>
          <w:highlight w:val="none"/>
          <w:lang w:val="en-US" w:eastAsia="zh-CN"/>
        </w:rPr>
        <w:t>工程量清单：</w:t>
      </w:r>
    </w:p>
    <w:tbl>
      <w:tblPr>
        <w:tblStyle w:val="17"/>
        <w:tblpPr w:leftFromText="180" w:rightFromText="180" w:vertAnchor="text" w:horzAnchor="page" w:tblpX="1205" w:tblpY="595"/>
        <w:tblOverlap w:val="never"/>
        <w:tblW w:w="98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1993"/>
        <w:gridCol w:w="2768"/>
        <w:gridCol w:w="552"/>
        <w:gridCol w:w="828"/>
        <w:gridCol w:w="1350"/>
        <w:gridCol w:w="825"/>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539"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99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right="97" w:rightChars="46"/>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276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right="420" w:rightChars="20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工作内容</w:t>
            </w:r>
          </w:p>
        </w:tc>
        <w:tc>
          <w:tcPr>
            <w:tcW w:w="55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82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工程量</w:t>
            </w:r>
          </w:p>
        </w:tc>
        <w:tc>
          <w:tcPr>
            <w:tcW w:w="135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全费用单价（元/㎡）</w:t>
            </w:r>
          </w:p>
        </w:tc>
        <w:tc>
          <w:tcPr>
            <w:tcW w:w="82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合计</w:t>
            </w:r>
          </w:p>
          <w:p>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（元）</w:t>
            </w:r>
          </w:p>
        </w:tc>
        <w:tc>
          <w:tcPr>
            <w:tcW w:w="947"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5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外墙面</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YT保温抹分遍抹50mm厚，抗裂砂浆一遍（3~5mm），内压160g/㎡耐碱玻纤网</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9560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3" w:hRule="atLeast"/>
        </w:trPr>
        <w:tc>
          <w:tcPr>
            <w:tcW w:w="5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外墙门窗洞口及女儿墙、突出外墙檐板</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auto"/>
                <w:highlight w:val="none"/>
                <w:lang w:val="en-US" w:eastAsia="zh-CN"/>
              </w:rPr>
            </w:pPr>
            <w:r>
              <w:rPr>
                <w:rFonts w:hint="eastAsia"/>
                <w:color w:val="auto"/>
                <w:highlight w:val="none"/>
                <w:lang w:val="en-US" w:eastAsia="zh-CN"/>
              </w:rPr>
              <w:t>YT保温抹分遍抹30mm厚，抗裂砂浆一遍（3~5mm），内压160g/㎡耐碱玻纤网</w:t>
            </w:r>
          </w:p>
          <w:p>
            <w:pPr>
              <w:pStyle w:val="2"/>
              <w:rPr>
                <w:rFonts w:hint="default"/>
                <w:color w:val="auto"/>
                <w:highlight w:val="none"/>
                <w:lang w:val="en-US"/>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5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变形缝两侧内墙面</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YT保温抹分遍抹50mm厚，内压160g/㎡耐碱玻纤网</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1685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5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外墙内侧</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YT保温抹分遍抹40mm厚，内压160g/㎡耐碱玻纤网</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6174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5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地下车库与供暖房间之间的楼板、底面接触室外空气的架空或外挑楼板</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YT保温抹分遍抹30mm厚，内压160g/㎡耐碱玻纤网</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5800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5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非供暖楼梯间与供暖房间之间的隔墙</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YT保温抹分遍抹20mm厚，内压160g/㎡耐碱玻纤网</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210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300"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r>
              <w:rPr>
                <w:rFonts w:hint="eastAsia" w:ascii="宋体" w:hAnsi="宋体" w:cs="宋体"/>
                <w:b/>
                <w:bCs/>
                <w:i w:val="0"/>
                <w:iCs w:val="0"/>
                <w:color w:val="auto"/>
                <w:kern w:val="0"/>
                <w:sz w:val="24"/>
                <w:szCs w:val="24"/>
                <w:highlight w:val="none"/>
                <w:u w:val="none"/>
                <w:lang w:val="en-US" w:eastAsia="zh-CN" w:bidi="ar"/>
              </w:rPr>
              <w:t>（元）</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7" w:hRule="atLeast"/>
        </w:trPr>
        <w:tc>
          <w:tcPr>
            <w:tcW w:w="9802" w:type="dxa"/>
            <w:gridSpan w:val="8"/>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color w:val="auto"/>
                <w:highlight w:val="none"/>
                <w:lang w:val="en-US" w:eastAsia="zh-CN"/>
              </w:rPr>
            </w:pPr>
            <w:r>
              <w:rPr>
                <w:rFonts w:hint="eastAsia"/>
                <w:color w:val="auto"/>
                <w:highlight w:val="none"/>
                <w:lang w:val="en-US" w:eastAsia="zh-CN"/>
              </w:rPr>
              <w:t>全费用单价包含施工所涉及到的人工费、材料费、机械费、总承包服务费、验收费、一般检测及特殊检测费、保险费、管理费、利润、措施费、规费、税金，政策性文件的规定以及包括但不限于原材料涨价等合同明示或暗示的所有一切风险、责任和义务等为完成本项目所需的一切费用。</w:t>
            </w:r>
          </w:p>
          <w:p>
            <w:pPr>
              <w:pStyle w:val="2"/>
              <w:rPr>
                <w:rFonts w:hint="default"/>
                <w:color w:val="auto"/>
                <w:highlight w:val="none"/>
                <w:lang w:val="en-US"/>
              </w:rPr>
            </w:pPr>
            <w:r>
              <w:rPr>
                <w:rFonts w:hint="eastAsia" w:ascii="宋体" w:hAnsi="宋体" w:cs="宋体"/>
                <w:i w:val="0"/>
                <w:iCs w:val="0"/>
                <w:color w:val="auto"/>
                <w:kern w:val="0"/>
                <w:sz w:val="24"/>
                <w:szCs w:val="24"/>
                <w:highlight w:val="none"/>
                <w:u w:val="none"/>
                <w:lang w:val="en-US" w:eastAsia="zh-CN" w:bidi="ar"/>
              </w:rPr>
              <w:t xml:space="preserve">  本工程实行固定全费用单价，工程量据实结算。</w:t>
            </w:r>
          </w:p>
        </w:tc>
      </w:tr>
    </w:tbl>
    <w:p>
      <w:pPr>
        <w:tabs>
          <w:tab w:val="left" w:pos="836"/>
        </w:tabs>
        <w:spacing w:line="500" w:lineRule="exact"/>
        <w:jc w:val="both"/>
        <w:rPr>
          <w:rFonts w:hint="eastAsia" w:ascii="Cambria" w:hAnsi="Cambria"/>
          <w:b/>
          <w:bCs/>
          <w:color w:val="auto"/>
          <w:kern w:val="44"/>
          <w:sz w:val="36"/>
          <w:szCs w:val="36"/>
          <w:highlight w:val="none"/>
        </w:rPr>
      </w:pPr>
    </w:p>
    <w:p>
      <w:pPr>
        <w:tabs>
          <w:tab w:val="left" w:pos="836"/>
        </w:tabs>
        <w:spacing w:line="500" w:lineRule="exact"/>
        <w:jc w:val="both"/>
        <w:rPr>
          <w:rFonts w:hint="eastAsia" w:ascii="Cambria" w:hAnsi="Cambria"/>
          <w:b/>
          <w:bCs/>
          <w:color w:val="auto"/>
          <w:kern w:val="44"/>
          <w:sz w:val="36"/>
          <w:szCs w:val="36"/>
          <w:highlight w:val="none"/>
        </w:rPr>
      </w:pPr>
    </w:p>
    <w:tbl>
      <w:tblPr>
        <w:tblStyle w:val="17"/>
        <w:tblW w:w="9042"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5173"/>
        <w:gridCol w:w="88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9042"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36"/>
                <w:szCs w:val="36"/>
                <w:highlight w:val="none"/>
                <w:u w:val="none"/>
                <w:lang w:val="en-US"/>
              </w:rPr>
            </w:pPr>
            <w:r>
              <w:rPr>
                <w:rFonts w:hint="eastAsia" w:ascii="宋体" w:hAnsi="宋体" w:eastAsia="宋体" w:cs="宋体"/>
                <w:b/>
                <w:bCs/>
                <w:i w:val="0"/>
                <w:iCs w:val="0"/>
                <w:color w:val="auto"/>
                <w:kern w:val="0"/>
                <w:sz w:val="36"/>
                <w:szCs w:val="36"/>
                <w:highlight w:val="none"/>
                <w:u w:val="none"/>
                <w:lang w:val="en-US" w:eastAsia="zh-CN" w:bidi="ar"/>
              </w:rPr>
              <w:t>山东省临沂卫生学校扩建项目图书信息综合楼工程-- YT保温单价限价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79"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序号</w:t>
            </w:r>
          </w:p>
        </w:tc>
        <w:tc>
          <w:tcPr>
            <w:tcW w:w="5173"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工作内容</w:t>
            </w:r>
          </w:p>
        </w:tc>
        <w:tc>
          <w:tcPr>
            <w:tcW w:w="88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单位</w:t>
            </w:r>
          </w:p>
        </w:tc>
        <w:tc>
          <w:tcPr>
            <w:tcW w:w="2205"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全费用单价限价（元/㎡）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79"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w:t>
            </w:r>
          </w:p>
        </w:tc>
        <w:tc>
          <w:tcPr>
            <w:tcW w:w="5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YT保温抹分遍抹50mm厚，抗裂砂浆一遍（3~5mm），内压160g/㎡耐碱玻纤网</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779"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2</w:t>
            </w:r>
          </w:p>
        </w:tc>
        <w:tc>
          <w:tcPr>
            <w:tcW w:w="5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YT保温抹分遍抹30mm厚，抗裂砂浆一遍（3~5mm），内压160g/㎡耐碱玻纤网</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779"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3</w:t>
            </w:r>
          </w:p>
        </w:tc>
        <w:tc>
          <w:tcPr>
            <w:tcW w:w="5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YT保温抹分遍抹50mm厚，内压160g/㎡耐碱玻纤网</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79"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4</w:t>
            </w:r>
          </w:p>
        </w:tc>
        <w:tc>
          <w:tcPr>
            <w:tcW w:w="5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YT保温抹分遍抹40mm厚，内压160g/㎡耐碱玻纤网</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79"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5</w:t>
            </w:r>
          </w:p>
        </w:tc>
        <w:tc>
          <w:tcPr>
            <w:tcW w:w="5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YT保温抹分遍抹30mm厚，内压160g/㎡耐碱玻纤网</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9"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6</w:t>
            </w:r>
          </w:p>
        </w:tc>
        <w:tc>
          <w:tcPr>
            <w:tcW w:w="51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YT保温抹分遍抹20mm厚，内压160g/㎡耐碱玻纤网</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65</w:t>
            </w:r>
          </w:p>
        </w:tc>
      </w:tr>
    </w:tbl>
    <w:p>
      <w:pPr>
        <w:rPr>
          <w:rFonts w:hint="eastAsia" w:ascii="Cambria" w:hAnsi="Cambria"/>
          <w:b/>
          <w:bCs/>
          <w:color w:val="auto"/>
          <w:kern w:val="44"/>
          <w:sz w:val="36"/>
          <w:szCs w:val="36"/>
          <w:highlight w:val="none"/>
        </w:rPr>
      </w:pPr>
    </w:p>
    <w:p>
      <w:pPr>
        <w:pStyle w:val="2"/>
        <w:rPr>
          <w:rFonts w:hint="eastAsia" w:ascii="Cambria" w:hAnsi="Cambria"/>
          <w:b/>
          <w:bCs/>
          <w:color w:val="auto"/>
          <w:kern w:val="44"/>
          <w:sz w:val="36"/>
          <w:szCs w:val="36"/>
          <w:highlight w:val="none"/>
        </w:rPr>
      </w:pPr>
    </w:p>
    <w:p>
      <w:pPr>
        <w:rPr>
          <w:rFonts w:hint="eastAsia" w:ascii="Cambria" w:hAnsi="Cambria"/>
          <w:b/>
          <w:bCs/>
          <w:color w:val="auto"/>
          <w:kern w:val="44"/>
          <w:sz w:val="36"/>
          <w:szCs w:val="36"/>
          <w:highlight w:val="none"/>
        </w:rPr>
      </w:pPr>
    </w:p>
    <w:p>
      <w:pPr>
        <w:pStyle w:val="2"/>
        <w:rPr>
          <w:rFonts w:hint="eastAsia"/>
          <w:color w:val="auto"/>
          <w:highlight w:val="none"/>
        </w:rPr>
      </w:pPr>
    </w:p>
    <w:p>
      <w:pPr>
        <w:pStyle w:val="2"/>
        <w:rPr>
          <w:rFonts w:hint="eastAsia"/>
          <w:color w:val="auto"/>
          <w:highlight w:val="none"/>
        </w:rPr>
      </w:pPr>
    </w:p>
    <w:p>
      <w:pPr>
        <w:tabs>
          <w:tab w:val="left" w:pos="836"/>
        </w:tabs>
        <w:spacing w:line="500" w:lineRule="exact"/>
        <w:jc w:val="center"/>
        <w:rPr>
          <w:rFonts w:ascii="Cambria" w:hAnsi="Cambria"/>
          <w:b/>
          <w:bCs/>
          <w:color w:val="auto"/>
          <w:kern w:val="44"/>
          <w:sz w:val="36"/>
          <w:szCs w:val="36"/>
          <w:highlight w:val="none"/>
        </w:rPr>
      </w:pPr>
      <w:r>
        <w:rPr>
          <w:rFonts w:hint="eastAsia" w:ascii="Cambria" w:hAnsi="Cambria"/>
          <w:b/>
          <w:bCs/>
          <w:color w:val="auto"/>
          <w:kern w:val="44"/>
          <w:sz w:val="36"/>
          <w:szCs w:val="36"/>
          <w:highlight w:val="none"/>
        </w:rPr>
        <w:t>第四章  签订合同</w:t>
      </w:r>
      <w:bookmarkEnd w:id="19"/>
    </w:p>
    <w:p>
      <w:pPr>
        <w:spacing w:line="500" w:lineRule="exact"/>
        <w:ind w:firstLine="281" w:firstLineChars="100"/>
        <w:rPr>
          <w:rFonts w:ascii="宋体" w:hAnsi="宋体"/>
          <w:b/>
          <w:bCs/>
          <w:color w:val="auto"/>
          <w:sz w:val="28"/>
          <w:szCs w:val="28"/>
          <w:highlight w:val="none"/>
        </w:rPr>
      </w:pPr>
      <w:r>
        <w:rPr>
          <w:rFonts w:hint="eastAsia" w:ascii="宋体" w:hAnsi="宋体"/>
          <w:b/>
          <w:bCs/>
          <w:color w:val="auto"/>
          <w:sz w:val="28"/>
          <w:szCs w:val="28"/>
          <w:highlight w:val="none"/>
        </w:rPr>
        <w:t>1.合同授予标准</w:t>
      </w:r>
    </w:p>
    <w:p>
      <w:pPr>
        <w:spacing w:line="500" w:lineRule="exact"/>
        <w:ind w:firstLine="480"/>
        <w:rPr>
          <w:rFonts w:ascii="宋体" w:hAnsi="宋体"/>
          <w:bCs/>
          <w:color w:val="auto"/>
          <w:sz w:val="28"/>
          <w:szCs w:val="28"/>
          <w:highlight w:val="none"/>
        </w:rPr>
      </w:pPr>
      <w:r>
        <w:rPr>
          <w:rFonts w:hint="eastAsia" w:ascii="宋体" w:hAnsi="宋体"/>
          <w:bCs/>
          <w:color w:val="auto"/>
          <w:sz w:val="28"/>
          <w:szCs w:val="28"/>
          <w:highlight w:val="none"/>
        </w:rPr>
        <w:t>招标人将把合同授予其投标文件在实质上响应</w:t>
      </w:r>
      <w:r>
        <w:rPr>
          <w:rFonts w:hint="eastAsia" w:ascii="宋体" w:hAnsi="宋体"/>
          <w:bCs/>
          <w:color w:val="auto"/>
          <w:sz w:val="28"/>
          <w:szCs w:val="28"/>
          <w:highlight w:val="none"/>
          <w:lang w:eastAsia="zh-CN"/>
        </w:rPr>
        <w:t>磋商文件</w:t>
      </w:r>
      <w:r>
        <w:rPr>
          <w:rFonts w:hint="eastAsia" w:ascii="宋体" w:hAnsi="宋体"/>
          <w:bCs/>
          <w:color w:val="auto"/>
          <w:sz w:val="28"/>
          <w:szCs w:val="28"/>
          <w:highlight w:val="none"/>
        </w:rPr>
        <w:t>要求和按评标办法规定评出的投标人，确定为中标的投标人必须具有实施合同的能力和资源。</w:t>
      </w:r>
    </w:p>
    <w:p>
      <w:pPr>
        <w:tabs>
          <w:tab w:val="left" w:pos="1080"/>
        </w:tabs>
        <w:spacing w:line="500" w:lineRule="exact"/>
        <w:ind w:firstLine="281" w:firstLineChars="100"/>
        <w:rPr>
          <w:rFonts w:ascii="宋体" w:hAnsi="宋体"/>
          <w:b/>
          <w:color w:val="auto"/>
          <w:sz w:val="28"/>
          <w:szCs w:val="28"/>
          <w:highlight w:val="none"/>
        </w:rPr>
      </w:pPr>
      <w:r>
        <w:rPr>
          <w:rFonts w:hint="eastAsia" w:ascii="宋体" w:hAnsi="宋体"/>
          <w:b/>
          <w:color w:val="auto"/>
          <w:sz w:val="28"/>
          <w:szCs w:val="28"/>
          <w:highlight w:val="none"/>
        </w:rPr>
        <w:t>2.中标通知书</w:t>
      </w:r>
    </w:p>
    <w:p>
      <w:pPr>
        <w:tabs>
          <w:tab w:val="left" w:pos="1080"/>
        </w:tabs>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2.1 确定出中标人后，在投标有效期截止前，招标代理单位将以书面形式通知中标的投标人其投标被接受。</w:t>
      </w:r>
    </w:p>
    <w:p>
      <w:pPr>
        <w:spacing w:line="50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2.2 中标通知书为合同的组成部分。</w:t>
      </w:r>
    </w:p>
    <w:p>
      <w:pPr>
        <w:spacing w:line="500" w:lineRule="exact"/>
        <w:ind w:firstLine="281" w:firstLineChars="100"/>
        <w:jc w:val="left"/>
        <w:rPr>
          <w:rFonts w:ascii="宋体" w:hAnsi="宋体"/>
          <w:b/>
          <w:color w:val="auto"/>
          <w:sz w:val="28"/>
          <w:szCs w:val="28"/>
          <w:highlight w:val="none"/>
        </w:rPr>
      </w:pPr>
      <w:r>
        <w:rPr>
          <w:rFonts w:hint="eastAsia" w:ascii="宋体" w:hAnsi="宋体"/>
          <w:b/>
          <w:color w:val="auto"/>
          <w:sz w:val="28"/>
          <w:szCs w:val="28"/>
          <w:highlight w:val="none"/>
        </w:rPr>
        <w:t xml:space="preserve">3.合同协议书的签署 </w:t>
      </w:r>
    </w:p>
    <w:p>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中标人应按中标通知书中规定的日期、时间和地点，由法定代表人或授权代表与发包人代表签订合同。</w:t>
      </w:r>
    </w:p>
    <w:p>
      <w:pPr>
        <w:pStyle w:val="27"/>
        <w:ind w:firstLine="0" w:firstLineChars="0"/>
        <w:rPr>
          <w:rFonts w:ascii="宋体" w:hAnsi="宋体" w:cs="宋体"/>
          <w:b/>
          <w:bCs/>
          <w:color w:val="auto"/>
          <w:sz w:val="28"/>
          <w:szCs w:val="24"/>
          <w:highlight w:val="none"/>
        </w:rPr>
      </w:pPr>
    </w:p>
    <w:p>
      <w:pPr>
        <w:pStyle w:val="27"/>
        <w:ind w:firstLine="0" w:firstLineChars="0"/>
        <w:rPr>
          <w:rFonts w:ascii="宋体" w:hAnsi="宋体" w:cs="宋体"/>
          <w:b/>
          <w:bCs/>
          <w:color w:val="auto"/>
          <w:sz w:val="28"/>
          <w:szCs w:val="24"/>
          <w:highlight w:val="none"/>
        </w:rPr>
      </w:pPr>
    </w:p>
    <w:p>
      <w:pPr>
        <w:pStyle w:val="27"/>
        <w:ind w:firstLine="0" w:firstLineChars="0"/>
        <w:rPr>
          <w:rFonts w:ascii="宋体" w:hAnsi="宋体" w:cs="宋体"/>
          <w:b/>
          <w:bCs/>
          <w:color w:val="auto"/>
          <w:sz w:val="28"/>
          <w:szCs w:val="24"/>
          <w:highlight w:val="none"/>
        </w:rPr>
      </w:pPr>
    </w:p>
    <w:p>
      <w:pPr>
        <w:pStyle w:val="27"/>
        <w:ind w:firstLine="0" w:firstLineChars="0"/>
        <w:rPr>
          <w:rFonts w:ascii="宋体" w:hAnsi="宋体" w:cs="宋体"/>
          <w:b/>
          <w:bCs/>
          <w:color w:val="auto"/>
          <w:sz w:val="28"/>
          <w:szCs w:val="24"/>
          <w:highlight w:val="none"/>
        </w:rPr>
      </w:pPr>
    </w:p>
    <w:p>
      <w:pPr>
        <w:pStyle w:val="27"/>
        <w:ind w:firstLine="0" w:firstLineChars="0"/>
        <w:rPr>
          <w:rFonts w:ascii="宋体" w:hAnsi="宋体" w:cs="宋体"/>
          <w:b/>
          <w:bCs/>
          <w:color w:val="auto"/>
          <w:sz w:val="28"/>
          <w:szCs w:val="24"/>
          <w:highlight w:val="none"/>
        </w:rPr>
      </w:pPr>
    </w:p>
    <w:p>
      <w:pPr>
        <w:pStyle w:val="27"/>
        <w:ind w:firstLine="0" w:firstLineChars="0"/>
        <w:rPr>
          <w:rFonts w:ascii="宋体" w:hAnsi="宋体" w:cs="宋体"/>
          <w:b/>
          <w:bCs/>
          <w:color w:val="auto"/>
          <w:sz w:val="28"/>
          <w:szCs w:val="24"/>
          <w:highlight w:val="none"/>
        </w:rPr>
      </w:pPr>
    </w:p>
    <w:p>
      <w:pPr>
        <w:pStyle w:val="27"/>
        <w:ind w:firstLine="0" w:firstLineChars="0"/>
        <w:rPr>
          <w:rFonts w:ascii="宋体" w:hAnsi="宋体" w:cs="宋体"/>
          <w:b/>
          <w:bCs/>
          <w:color w:val="auto"/>
          <w:sz w:val="28"/>
          <w:szCs w:val="24"/>
          <w:highlight w:val="none"/>
        </w:rPr>
      </w:pPr>
    </w:p>
    <w:p>
      <w:pPr>
        <w:pStyle w:val="15"/>
        <w:jc w:val="both"/>
        <w:rPr>
          <w:rFonts w:hint="eastAsia"/>
          <w:color w:val="auto"/>
          <w:kern w:val="44"/>
          <w:sz w:val="36"/>
          <w:szCs w:val="36"/>
          <w:highlight w:val="none"/>
        </w:rPr>
      </w:pPr>
      <w:bookmarkStart w:id="20" w:name="_Toc67"/>
    </w:p>
    <w:p>
      <w:pPr>
        <w:pStyle w:val="15"/>
        <w:rPr>
          <w:rFonts w:hint="eastAsia"/>
          <w:color w:val="auto"/>
          <w:kern w:val="44"/>
          <w:sz w:val="36"/>
          <w:szCs w:val="36"/>
          <w:highlight w:val="none"/>
        </w:rPr>
      </w:pPr>
    </w:p>
    <w:p>
      <w:pPr>
        <w:pStyle w:val="15"/>
        <w:rPr>
          <w:rFonts w:hint="eastAsia"/>
          <w:color w:val="auto"/>
          <w:kern w:val="44"/>
          <w:sz w:val="36"/>
          <w:szCs w:val="36"/>
          <w:highlight w:val="none"/>
        </w:rPr>
      </w:pPr>
    </w:p>
    <w:p>
      <w:pPr>
        <w:pStyle w:val="15"/>
        <w:rPr>
          <w:rFonts w:hint="eastAsia"/>
          <w:color w:val="auto"/>
          <w:kern w:val="44"/>
          <w:sz w:val="36"/>
          <w:szCs w:val="36"/>
          <w:highlight w:val="none"/>
        </w:rPr>
      </w:pPr>
    </w:p>
    <w:p>
      <w:pPr>
        <w:pStyle w:val="15"/>
        <w:rPr>
          <w:rFonts w:hint="eastAsia"/>
          <w:color w:val="auto"/>
          <w:kern w:val="44"/>
          <w:sz w:val="36"/>
          <w:szCs w:val="36"/>
          <w:highlight w:val="none"/>
        </w:rPr>
      </w:pPr>
    </w:p>
    <w:p>
      <w:pPr>
        <w:pStyle w:val="15"/>
        <w:rPr>
          <w:rFonts w:hint="eastAsia"/>
          <w:color w:val="auto"/>
          <w:kern w:val="44"/>
          <w:sz w:val="36"/>
          <w:szCs w:val="36"/>
          <w:highlight w:val="none"/>
        </w:rPr>
      </w:pPr>
    </w:p>
    <w:p>
      <w:pPr>
        <w:pStyle w:val="15"/>
        <w:rPr>
          <w:color w:val="auto"/>
          <w:kern w:val="44"/>
          <w:sz w:val="36"/>
          <w:szCs w:val="36"/>
          <w:highlight w:val="none"/>
        </w:rPr>
      </w:pPr>
      <w:r>
        <w:rPr>
          <w:rFonts w:hint="eastAsia"/>
          <w:color w:val="auto"/>
          <w:kern w:val="44"/>
          <w:sz w:val="36"/>
          <w:szCs w:val="36"/>
          <w:highlight w:val="none"/>
        </w:rPr>
        <w:t>第五章  附件</w:t>
      </w:r>
      <w:bookmarkEnd w:id="20"/>
    </w:p>
    <w:p>
      <w:pPr>
        <w:spacing w:line="480" w:lineRule="exact"/>
        <w:rPr>
          <w:rFonts w:ascii="宋体" w:hAnsi="宋体"/>
          <w:bCs/>
          <w:color w:val="auto"/>
          <w:sz w:val="28"/>
          <w:szCs w:val="21"/>
          <w:highlight w:val="none"/>
        </w:rPr>
      </w:pPr>
      <w:r>
        <w:rPr>
          <w:rFonts w:hint="eastAsia" w:ascii="宋体" w:hAnsi="宋体"/>
          <w:bCs/>
          <w:color w:val="auto"/>
          <w:sz w:val="28"/>
          <w:szCs w:val="21"/>
          <w:highlight w:val="none"/>
        </w:rPr>
        <w:t>附件一：</w:t>
      </w:r>
    </w:p>
    <w:p>
      <w:pPr>
        <w:spacing w:line="48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投 标 函</w:t>
      </w:r>
    </w:p>
    <w:p>
      <w:pPr>
        <w:spacing w:line="480" w:lineRule="exact"/>
        <w:jc w:val="left"/>
        <w:rPr>
          <w:rFonts w:ascii="宋体" w:hAnsi="宋体"/>
          <w:color w:val="auto"/>
          <w:sz w:val="28"/>
          <w:szCs w:val="21"/>
          <w:highlight w:val="none"/>
        </w:rPr>
      </w:pPr>
      <w:r>
        <w:rPr>
          <w:rFonts w:hint="eastAsia" w:ascii="宋体" w:hAnsi="宋体" w:cs="宋体"/>
          <w:color w:val="auto"/>
          <w:kern w:val="0"/>
          <w:sz w:val="28"/>
          <w:szCs w:val="21"/>
          <w:highlight w:val="none"/>
          <w:u w:val="single"/>
        </w:rPr>
        <w:t>山东华方项目管理有限公司</w:t>
      </w:r>
      <w:r>
        <w:rPr>
          <w:rFonts w:hint="eastAsia" w:ascii="宋体" w:hAnsi="宋体"/>
          <w:color w:val="auto"/>
          <w:sz w:val="28"/>
          <w:szCs w:val="21"/>
          <w:highlight w:val="none"/>
        </w:rPr>
        <w:t>：</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经研究，我方决定参加项目（项目编号）的采购活动并提交响应文件。为此，我方郑重声明以下诸点，并负法律责任：</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1.我方完全理解和接受磋商文件的一切规定和要求，按规定提交响应文件数量。</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2.如果我方的响应文件被接受，我方将履行磋商文件中规定的每一项要求，并按我方响应文件中的承诺，保证按期完成项目的实施。</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3.我方理解，最低报价不是中标的唯一条件，你们有选择成交供应商的权利。</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4.我方愿按《中华人民共和国合同法》履行自己的全部责任。</w:t>
      </w:r>
    </w:p>
    <w:p>
      <w:pPr>
        <w:pStyle w:val="7"/>
        <w:spacing w:line="480" w:lineRule="exact"/>
        <w:ind w:firstLine="560"/>
        <w:rPr>
          <w:rFonts w:ascii="宋体" w:hAnsi="宋体"/>
          <w:color w:val="auto"/>
          <w:sz w:val="28"/>
          <w:szCs w:val="21"/>
          <w:highlight w:val="none"/>
        </w:rPr>
      </w:pPr>
      <w:r>
        <w:rPr>
          <w:rFonts w:hint="eastAsia" w:ascii="宋体" w:hAnsi="宋体"/>
          <w:color w:val="auto"/>
          <w:sz w:val="28"/>
          <w:szCs w:val="21"/>
          <w:highlight w:val="none"/>
        </w:rPr>
        <w:t>5.我方同意按磋商文件要求递交投标保证金，遵守贵机构对本次项目所做的有关规定。</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6.我方响应文件的有效期为投标截止时间起90日。</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7.我方若未成为成交供应商，贵机构有权不做任何解释。</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8.我方与本此投标有关的一切正式往来通讯请寄：</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地    址：</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邮政编号：</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电    话：</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传    真：</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开户单位：</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开户银行：</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账    号：</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供应商全权代表姓名、职务：</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供应商全称（公章）：</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法定代表人签字：年  月  日</w:t>
      </w:r>
    </w:p>
    <w:p>
      <w:pPr>
        <w:spacing w:line="480" w:lineRule="exact"/>
        <w:rPr>
          <w:rFonts w:hint="eastAsia" w:ascii="宋体" w:hAnsi="宋体"/>
          <w:color w:val="auto"/>
          <w:sz w:val="28"/>
          <w:szCs w:val="21"/>
          <w:highlight w:val="none"/>
        </w:rPr>
      </w:pPr>
    </w:p>
    <w:p>
      <w:pPr>
        <w:spacing w:line="480" w:lineRule="exact"/>
        <w:rPr>
          <w:rFonts w:hint="eastAsia" w:ascii="宋体" w:hAnsi="宋体"/>
          <w:color w:val="auto"/>
          <w:sz w:val="28"/>
          <w:szCs w:val="21"/>
          <w:highlight w:val="none"/>
        </w:rPr>
      </w:pPr>
    </w:p>
    <w:p>
      <w:pPr>
        <w:spacing w:line="480" w:lineRule="exact"/>
        <w:rPr>
          <w:rFonts w:hint="eastAsia" w:ascii="宋体" w:hAnsi="宋体"/>
          <w:color w:val="auto"/>
          <w:sz w:val="28"/>
          <w:szCs w:val="21"/>
          <w:highlight w:val="none"/>
        </w:rPr>
      </w:pPr>
    </w:p>
    <w:p>
      <w:pPr>
        <w:spacing w:line="480" w:lineRule="exact"/>
        <w:rPr>
          <w:rFonts w:hint="eastAsia" w:ascii="宋体" w:hAnsi="宋体"/>
          <w:color w:val="auto"/>
          <w:sz w:val="28"/>
          <w:szCs w:val="21"/>
          <w:highlight w:val="none"/>
        </w:rPr>
      </w:pPr>
    </w:p>
    <w:p>
      <w:pPr>
        <w:spacing w:line="480" w:lineRule="exact"/>
        <w:rPr>
          <w:rFonts w:ascii="宋体" w:hAnsi="宋体"/>
          <w:color w:val="auto"/>
          <w:sz w:val="28"/>
          <w:szCs w:val="21"/>
          <w:highlight w:val="none"/>
        </w:rPr>
      </w:pPr>
      <w:r>
        <w:rPr>
          <w:rFonts w:hint="eastAsia" w:ascii="宋体" w:hAnsi="宋体"/>
          <w:color w:val="auto"/>
          <w:sz w:val="28"/>
          <w:szCs w:val="21"/>
          <w:highlight w:val="none"/>
        </w:rPr>
        <w:t>附件二：</w:t>
      </w:r>
    </w:p>
    <w:p>
      <w:pPr>
        <w:spacing w:line="360" w:lineRule="exact"/>
        <w:ind w:left="181" w:leftChars="86" w:firstLine="1988" w:firstLineChars="550"/>
        <w:rPr>
          <w:rFonts w:ascii="宋体" w:hAnsi="宋体"/>
          <w:b/>
          <w:color w:val="auto"/>
          <w:sz w:val="36"/>
          <w:szCs w:val="36"/>
          <w:highlight w:val="none"/>
        </w:rPr>
      </w:pPr>
      <w:r>
        <w:rPr>
          <w:rFonts w:hint="eastAsia" w:ascii="宋体" w:hAnsi="宋体"/>
          <w:b/>
          <w:color w:val="auto"/>
          <w:sz w:val="36"/>
          <w:szCs w:val="36"/>
          <w:highlight w:val="none"/>
        </w:rPr>
        <w:t>临沂市政府采购供应商反商业贿赂承诺书</w:t>
      </w:r>
    </w:p>
    <w:p>
      <w:pPr>
        <w:spacing w:line="360" w:lineRule="exact"/>
        <w:ind w:left="181" w:leftChars="86" w:firstLine="1405" w:firstLineChars="350"/>
        <w:rPr>
          <w:rFonts w:ascii="宋体" w:hAnsi="宋体"/>
          <w:b/>
          <w:color w:val="auto"/>
          <w:sz w:val="40"/>
          <w:szCs w:val="40"/>
          <w:highlight w:val="none"/>
        </w:rPr>
      </w:pPr>
    </w:p>
    <w:p>
      <w:pPr>
        <w:spacing w:line="360" w:lineRule="exact"/>
        <w:ind w:left="181" w:leftChars="86" w:firstLine="560" w:firstLineChars="200"/>
        <w:rPr>
          <w:rFonts w:hint="eastAsia" w:ascii="宋体" w:hAnsi="宋体" w:eastAsia="宋体"/>
          <w:color w:val="auto"/>
          <w:sz w:val="28"/>
          <w:szCs w:val="21"/>
          <w:highlight w:val="none"/>
          <w:lang w:eastAsia="zh-CN"/>
        </w:rPr>
      </w:pPr>
      <w:r>
        <w:rPr>
          <w:rFonts w:hint="eastAsia" w:ascii="宋体" w:hAnsi="宋体"/>
          <w:color w:val="auto"/>
          <w:sz w:val="28"/>
          <w:szCs w:val="21"/>
          <w:highlight w:val="none"/>
        </w:rPr>
        <w:t>为贯彻落实中央和省市关于治理商业贿赂的有关精神，进一步净化政府采购市场、规范政府采购行为，共同营造和维护竞争有序的政府采购市场，我们作为参加市政府采购的供应商就反商业贿赂向社会郑重承诺：</w:t>
      </w:r>
    </w:p>
    <w:p>
      <w:pPr>
        <w:spacing w:line="360" w:lineRule="exact"/>
        <w:ind w:left="181" w:leftChars="86" w:firstLine="560" w:firstLineChars="200"/>
        <w:rPr>
          <w:rFonts w:hint="eastAsia" w:ascii="宋体" w:hAnsi="宋体" w:eastAsia="宋体"/>
          <w:color w:val="auto"/>
          <w:sz w:val="28"/>
          <w:szCs w:val="21"/>
          <w:highlight w:val="none"/>
          <w:lang w:eastAsia="zh-CN"/>
        </w:rPr>
      </w:pPr>
      <w:r>
        <w:rPr>
          <w:rFonts w:hint="eastAsia" w:ascii="宋体" w:hAnsi="宋体"/>
          <w:color w:val="auto"/>
          <w:sz w:val="28"/>
          <w:szCs w:val="21"/>
          <w:highlight w:val="none"/>
        </w:rPr>
        <w:t xml:space="preserve">    一、认真学习并遵守国家相关的法律、法规及社会公德，树立质量为本的理念，诚实守信，依法参与政府采购活动，不搞不正当交易行为。</w:t>
      </w:r>
    </w:p>
    <w:p>
      <w:pPr>
        <w:spacing w:line="360" w:lineRule="exact"/>
        <w:ind w:left="181" w:leftChars="86" w:firstLine="560" w:firstLineChars="200"/>
        <w:rPr>
          <w:rFonts w:hint="eastAsia" w:ascii="宋体" w:hAnsi="宋体" w:eastAsia="宋体"/>
          <w:color w:val="auto"/>
          <w:sz w:val="28"/>
          <w:szCs w:val="21"/>
          <w:highlight w:val="none"/>
          <w:lang w:eastAsia="zh-CN"/>
        </w:rPr>
      </w:pPr>
      <w:r>
        <w:rPr>
          <w:rFonts w:hint="eastAsia" w:ascii="宋体" w:hAnsi="宋体"/>
          <w:color w:val="auto"/>
          <w:sz w:val="28"/>
          <w:szCs w:val="21"/>
          <w:highlight w:val="none"/>
        </w:rPr>
        <w:t xml:space="preserve">    二、在政府采购活动中，自觉遵守政府采购的法律法规的规定，依法依规进行政府采购项目招投标及公平交易，建立投标诚信、价格诚信、合同诚信、履约诚信、服务诚信等诚信体系。</w:t>
      </w:r>
    </w:p>
    <w:p>
      <w:pPr>
        <w:spacing w:line="360" w:lineRule="exact"/>
        <w:ind w:left="181" w:leftChars="86" w:firstLine="560" w:firstLineChars="200"/>
        <w:rPr>
          <w:rFonts w:hint="eastAsia" w:ascii="宋体" w:hAnsi="宋体" w:eastAsia="宋体"/>
          <w:color w:val="auto"/>
          <w:sz w:val="28"/>
          <w:szCs w:val="21"/>
          <w:highlight w:val="none"/>
          <w:lang w:eastAsia="zh-CN"/>
        </w:rPr>
      </w:pPr>
      <w:r>
        <w:rPr>
          <w:rFonts w:hint="eastAsia" w:ascii="宋体" w:hAnsi="宋体"/>
          <w:color w:val="auto"/>
          <w:sz w:val="28"/>
          <w:szCs w:val="21"/>
          <w:highlight w:val="none"/>
        </w:rPr>
        <w:t xml:space="preserve">    三、不弄虚作假，骗取政府采购供应商资格；不提供虚假资质文件谋取中标或成交；不出错、转让、出卖资质（资格）证书；不允许他人以本企业名义承接或承揽政府采购业务。</w:t>
      </w:r>
    </w:p>
    <w:p>
      <w:pPr>
        <w:spacing w:line="360" w:lineRule="exact"/>
        <w:ind w:left="181" w:leftChars="86" w:firstLine="560" w:firstLineChars="200"/>
        <w:rPr>
          <w:rFonts w:hint="eastAsia" w:ascii="宋体" w:hAnsi="宋体" w:eastAsia="宋体"/>
          <w:color w:val="auto"/>
          <w:sz w:val="28"/>
          <w:szCs w:val="21"/>
          <w:highlight w:val="none"/>
          <w:lang w:eastAsia="zh-CN"/>
        </w:rPr>
      </w:pPr>
      <w:r>
        <w:rPr>
          <w:rFonts w:hint="eastAsia" w:ascii="宋体" w:hAnsi="宋体"/>
          <w:color w:val="auto"/>
          <w:sz w:val="28"/>
          <w:szCs w:val="21"/>
          <w:highlight w:val="none"/>
        </w:rPr>
        <w:t xml:space="preserve">    四、不采取“围标、陪标”等商业欺诈手段获得政府采购订单；不采取不正当手段诋毁、排挤其他供应商参与竞争。</w:t>
      </w:r>
    </w:p>
    <w:p>
      <w:pPr>
        <w:spacing w:line="360" w:lineRule="exact"/>
        <w:ind w:left="181" w:leftChars="86" w:firstLine="560" w:firstLineChars="200"/>
        <w:rPr>
          <w:rFonts w:hint="eastAsia" w:ascii="宋体" w:hAnsi="宋体" w:eastAsia="宋体"/>
          <w:color w:val="auto"/>
          <w:sz w:val="28"/>
          <w:szCs w:val="21"/>
          <w:highlight w:val="none"/>
          <w:lang w:eastAsia="zh-CN"/>
        </w:rPr>
      </w:pPr>
      <w:r>
        <w:rPr>
          <w:rFonts w:hint="eastAsia" w:ascii="宋体" w:hAnsi="宋体"/>
          <w:color w:val="auto"/>
          <w:sz w:val="28"/>
          <w:szCs w:val="21"/>
          <w:highlight w:val="none"/>
        </w:rPr>
        <w:t xml:space="preserve">    五、在政府采购活动中，不与采购人、采购代理机构及其工作人员和其他供应商串通，损害国家利益、社会公共利益和其他相关人的合法权益。</w:t>
      </w:r>
    </w:p>
    <w:p>
      <w:pPr>
        <w:spacing w:line="360" w:lineRule="exact"/>
        <w:ind w:left="181" w:leftChars="86" w:firstLine="560" w:firstLineChars="200"/>
        <w:rPr>
          <w:rFonts w:hint="eastAsia" w:ascii="宋体" w:hAnsi="宋体" w:eastAsia="宋体"/>
          <w:color w:val="auto"/>
          <w:sz w:val="28"/>
          <w:szCs w:val="21"/>
          <w:highlight w:val="none"/>
          <w:lang w:eastAsia="zh-CN"/>
        </w:rPr>
      </w:pPr>
      <w:r>
        <w:rPr>
          <w:rFonts w:hint="eastAsia" w:ascii="宋体" w:hAnsi="宋体"/>
          <w:color w:val="auto"/>
          <w:sz w:val="28"/>
          <w:szCs w:val="21"/>
          <w:highlight w:val="none"/>
        </w:rPr>
        <w:t xml:space="preserve">    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p>
    <w:p>
      <w:pPr>
        <w:spacing w:line="360" w:lineRule="exact"/>
        <w:ind w:left="181" w:leftChars="86" w:firstLine="560" w:firstLineChars="200"/>
        <w:rPr>
          <w:rFonts w:hint="eastAsia" w:ascii="宋体" w:hAnsi="宋体" w:eastAsia="宋体"/>
          <w:color w:val="auto"/>
          <w:sz w:val="28"/>
          <w:szCs w:val="21"/>
          <w:highlight w:val="none"/>
          <w:lang w:eastAsia="zh-CN"/>
        </w:rPr>
      </w:pPr>
      <w:r>
        <w:rPr>
          <w:rFonts w:hint="eastAsia" w:ascii="宋体" w:hAnsi="宋体"/>
          <w:color w:val="auto"/>
          <w:sz w:val="28"/>
          <w:szCs w:val="21"/>
          <w:highlight w:val="none"/>
        </w:rPr>
        <w:t xml:space="preserve">   七、按规定与采购人签订政府采购合同，并严格按合同履约，为采购人提供符合质量标准规定的货物、工程和服务，不销售冒牌、走私货物；不擅自变更或终止、转让、转包政府采购合同；主动配合政府采购项目的验收工作。</w:t>
      </w:r>
    </w:p>
    <w:p>
      <w:pPr>
        <w:spacing w:line="360" w:lineRule="exact"/>
        <w:ind w:left="181" w:leftChars="86" w:firstLine="560" w:firstLineChars="200"/>
        <w:rPr>
          <w:rFonts w:hint="eastAsia" w:ascii="宋体" w:hAnsi="宋体" w:eastAsia="宋体"/>
          <w:color w:val="auto"/>
          <w:sz w:val="28"/>
          <w:szCs w:val="21"/>
          <w:highlight w:val="none"/>
          <w:lang w:eastAsia="zh-CN"/>
        </w:rPr>
      </w:pPr>
      <w:r>
        <w:rPr>
          <w:rFonts w:hint="eastAsia" w:ascii="宋体" w:hAnsi="宋体"/>
          <w:color w:val="auto"/>
          <w:sz w:val="28"/>
          <w:szCs w:val="21"/>
          <w:highlight w:val="none"/>
        </w:rPr>
        <w:t xml:space="preserve">   八、自觉接受政府采购监管部门的监督管理，积极配合检查和调查，并如实反映情况和提供材料。</w:t>
      </w:r>
    </w:p>
    <w:p>
      <w:pPr>
        <w:spacing w:line="360" w:lineRule="exact"/>
        <w:ind w:left="181" w:leftChars="86" w:firstLine="560" w:firstLineChars="200"/>
        <w:rPr>
          <w:rFonts w:hint="eastAsia" w:ascii="宋体" w:hAnsi="宋体" w:eastAsia="宋体"/>
          <w:color w:val="auto"/>
          <w:sz w:val="28"/>
          <w:szCs w:val="21"/>
          <w:highlight w:val="none"/>
          <w:lang w:eastAsia="zh-CN"/>
        </w:rPr>
      </w:pPr>
      <w:r>
        <w:rPr>
          <w:rFonts w:hint="eastAsia" w:ascii="宋体" w:hAnsi="宋体"/>
          <w:color w:val="auto"/>
          <w:sz w:val="28"/>
          <w:szCs w:val="21"/>
          <w:highlight w:val="none"/>
        </w:rPr>
        <w:t xml:space="preserve">   我们将严格遵守上述承诺事项，自愿接受主管（监管）部门和社会各方面的监督，如有违反的，自愿接受执法执纪机关和监督管理部门的处理。</w:t>
      </w:r>
    </w:p>
    <w:p>
      <w:pPr>
        <w:spacing w:line="360" w:lineRule="exact"/>
        <w:ind w:left="181" w:leftChars="86" w:firstLine="560" w:firstLineChars="200"/>
        <w:rPr>
          <w:rFonts w:ascii="宋体" w:hAnsi="宋体"/>
          <w:color w:val="auto"/>
          <w:sz w:val="28"/>
          <w:szCs w:val="21"/>
          <w:highlight w:val="none"/>
        </w:rPr>
      </w:pPr>
      <w:r>
        <w:rPr>
          <w:rFonts w:hint="eastAsia" w:ascii="宋体" w:hAnsi="宋体"/>
          <w:color w:val="auto"/>
          <w:sz w:val="28"/>
          <w:szCs w:val="21"/>
          <w:highlight w:val="none"/>
        </w:rPr>
        <w:t> </w:t>
      </w:r>
    </w:p>
    <w:p>
      <w:pPr>
        <w:spacing w:line="360" w:lineRule="exact"/>
        <w:ind w:left="181" w:leftChars="86" w:firstLine="560" w:firstLineChars="200"/>
        <w:rPr>
          <w:rFonts w:ascii="宋体" w:hAnsi="宋体"/>
          <w:color w:val="auto"/>
          <w:sz w:val="28"/>
          <w:szCs w:val="21"/>
          <w:highlight w:val="none"/>
        </w:rPr>
      </w:pPr>
    </w:p>
    <w:p>
      <w:pPr>
        <w:spacing w:line="360" w:lineRule="exact"/>
        <w:ind w:left="181" w:leftChars="86" w:firstLine="803" w:firstLineChars="200"/>
        <w:rPr>
          <w:rFonts w:ascii="宋体" w:hAnsi="宋体"/>
          <w:b/>
          <w:color w:val="auto"/>
          <w:sz w:val="40"/>
          <w:szCs w:val="40"/>
          <w:highlight w:val="none"/>
        </w:rPr>
      </w:pPr>
    </w:p>
    <w:p>
      <w:pPr>
        <w:spacing w:line="360" w:lineRule="exact"/>
        <w:ind w:left="140" w:hanging="140" w:hangingChars="50"/>
        <w:rPr>
          <w:rFonts w:hint="eastAsia" w:ascii="宋体" w:hAnsi="宋体" w:eastAsia="宋体"/>
          <w:color w:val="auto"/>
          <w:sz w:val="28"/>
          <w:szCs w:val="21"/>
          <w:highlight w:val="none"/>
          <w:lang w:eastAsia="zh-CN"/>
        </w:rPr>
      </w:pPr>
      <w:r>
        <w:rPr>
          <w:rFonts w:hint="eastAsia" w:ascii="宋体" w:hAnsi="宋体"/>
          <w:color w:val="auto"/>
          <w:sz w:val="28"/>
          <w:szCs w:val="21"/>
          <w:highlight w:val="none"/>
        </w:rPr>
        <w:t>  承诺单位：（公章）</w:t>
      </w:r>
    </w:p>
    <w:p>
      <w:pPr>
        <w:spacing w:line="360" w:lineRule="exact"/>
        <w:ind w:left="140" w:hanging="140" w:hangingChars="50"/>
        <w:rPr>
          <w:rFonts w:hint="eastAsia" w:ascii="宋体" w:hAnsi="宋体" w:eastAsia="宋体"/>
          <w:color w:val="auto"/>
          <w:sz w:val="28"/>
          <w:szCs w:val="21"/>
          <w:highlight w:val="none"/>
          <w:lang w:eastAsia="zh-CN"/>
        </w:rPr>
      </w:pPr>
      <w:r>
        <w:rPr>
          <w:rFonts w:hint="eastAsia" w:ascii="宋体" w:hAnsi="宋体"/>
          <w:color w:val="auto"/>
          <w:sz w:val="28"/>
          <w:szCs w:val="21"/>
          <w:highlight w:val="none"/>
        </w:rPr>
        <w:t> 法定代表人或委托代理人：</w:t>
      </w:r>
    </w:p>
    <w:p>
      <w:pPr>
        <w:spacing w:line="360" w:lineRule="exact"/>
        <w:ind w:left="140" w:hanging="140" w:hangingChars="50"/>
        <w:rPr>
          <w:rFonts w:ascii="宋体" w:hAnsi="宋体"/>
          <w:color w:val="auto"/>
          <w:sz w:val="28"/>
          <w:szCs w:val="21"/>
          <w:highlight w:val="none"/>
        </w:rPr>
      </w:pPr>
      <w:r>
        <w:rPr>
          <w:rFonts w:hint="eastAsia" w:ascii="宋体" w:hAnsi="宋体"/>
          <w:color w:val="auto"/>
          <w:sz w:val="28"/>
          <w:szCs w:val="21"/>
          <w:highlight w:val="none"/>
        </w:rPr>
        <w:t xml:space="preserve">                </w:t>
      </w:r>
    </w:p>
    <w:p>
      <w:pPr>
        <w:pStyle w:val="12"/>
        <w:ind w:firstLine="0"/>
        <w:rPr>
          <w:color w:val="auto"/>
          <w:sz w:val="21"/>
          <w:szCs w:val="21"/>
          <w:highlight w:val="none"/>
        </w:rPr>
      </w:pPr>
    </w:p>
    <w:p>
      <w:pPr>
        <w:spacing w:line="360" w:lineRule="exact"/>
        <w:ind w:firstLine="8400" w:firstLineChars="3000"/>
        <w:jc w:val="right"/>
        <w:rPr>
          <w:rFonts w:ascii="宋体" w:hAnsi="宋体"/>
          <w:color w:val="auto"/>
          <w:sz w:val="28"/>
          <w:szCs w:val="21"/>
          <w:highlight w:val="none"/>
        </w:rPr>
      </w:pPr>
      <w:r>
        <w:rPr>
          <w:rFonts w:hint="eastAsia" w:ascii="宋体" w:hAnsi="宋体"/>
          <w:color w:val="auto"/>
          <w:sz w:val="28"/>
          <w:szCs w:val="21"/>
          <w:highlight w:val="none"/>
        </w:rPr>
        <w:t xml:space="preserve"> 年  月  日</w:t>
      </w:r>
    </w:p>
    <w:p>
      <w:pPr>
        <w:pStyle w:val="26"/>
        <w:ind w:firstLine="440"/>
        <w:rPr>
          <w:color w:val="auto"/>
          <w:sz w:val="22"/>
          <w:szCs w:val="21"/>
          <w:highlight w:val="none"/>
        </w:rPr>
      </w:pPr>
    </w:p>
    <w:p>
      <w:pPr>
        <w:spacing w:line="480" w:lineRule="exact"/>
        <w:jc w:val="left"/>
        <w:rPr>
          <w:rFonts w:ascii="宋体" w:hAnsi="宋体" w:cs="宋体"/>
          <w:b/>
          <w:bCs/>
          <w:color w:val="auto"/>
          <w:sz w:val="28"/>
          <w:szCs w:val="21"/>
          <w:highlight w:val="none"/>
        </w:rPr>
      </w:pPr>
      <w:r>
        <w:rPr>
          <w:rFonts w:hint="eastAsia" w:ascii="宋体" w:hAnsi="宋体"/>
          <w:color w:val="auto"/>
          <w:sz w:val="28"/>
          <w:szCs w:val="28"/>
          <w:highlight w:val="none"/>
        </w:rPr>
        <w:t>附件三：</w:t>
      </w:r>
    </w:p>
    <w:p>
      <w:pPr>
        <w:spacing w:line="48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法定代表人身份证明书</w:t>
      </w:r>
    </w:p>
    <w:p>
      <w:pPr>
        <w:pStyle w:val="7"/>
        <w:spacing w:line="560" w:lineRule="exact"/>
        <w:ind w:firstLine="630" w:firstLineChars="225"/>
        <w:rPr>
          <w:rFonts w:ascii="宋体" w:hAnsi="宋体" w:cs="宋体"/>
          <w:color w:val="auto"/>
          <w:sz w:val="28"/>
          <w:szCs w:val="21"/>
          <w:highlight w:val="none"/>
        </w:rPr>
      </w:pPr>
      <w:r>
        <w:rPr>
          <w:rFonts w:hint="eastAsia" w:ascii="宋体" w:hAnsi="宋体" w:cs="宋体"/>
          <w:color w:val="auto"/>
          <w:sz w:val="28"/>
          <w:szCs w:val="21"/>
          <w:highlight w:val="none"/>
        </w:rPr>
        <w:t>单位名称：</w:t>
      </w:r>
    </w:p>
    <w:p>
      <w:pPr>
        <w:pStyle w:val="7"/>
        <w:spacing w:line="560" w:lineRule="exact"/>
        <w:ind w:firstLine="630" w:firstLineChars="225"/>
        <w:rPr>
          <w:rFonts w:ascii="宋体" w:hAnsi="宋体" w:cs="宋体"/>
          <w:color w:val="auto"/>
          <w:sz w:val="28"/>
          <w:szCs w:val="21"/>
          <w:highlight w:val="none"/>
        </w:rPr>
      </w:pPr>
      <w:r>
        <w:rPr>
          <w:rFonts w:hint="eastAsia" w:ascii="宋体" w:hAnsi="宋体" w:cs="宋体"/>
          <w:color w:val="auto"/>
          <w:sz w:val="28"/>
          <w:szCs w:val="21"/>
          <w:highlight w:val="none"/>
        </w:rPr>
        <w:t>联系地址：</w:t>
      </w:r>
    </w:p>
    <w:p>
      <w:pPr>
        <w:pStyle w:val="7"/>
        <w:spacing w:line="560" w:lineRule="exact"/>
        <w:ind w:firstLine="630" w:firstLineChars="225"/>
        <w:rPr>
          <w:rFonts w:ascii="宋体" w:hAnsi="宋体" w:cs="宋体"/>
          <w:color w:val="auto"/>
          <w:sz w:val="28"/>
          <w:szCs w:val="21"/>
          <w:highlight w:val="none"/>
        </w:rPr>
      </w:pPr>
      <w:r>
        <w:rPr>
          <w:rFonts w:hint="eastAsia" w:ascii="宋体" w:hAnsi="宋体" w:cs="宋体"/>
          <w:color w:val="auto"/>
          <w:sz w:val="28"/>
          <w:szCs w:val="21"/>
          <w:highlight w:val="none"/>
        </w:rPr>
        <w:t>姓    名：         性别：         年龄：         职务：</w:t>
      </w:r>
    </w:p>
    <w:p>
      <w:pPr>
        <w:spacing w:line="560" w:lineRule="exact"/>
        <w:ind w:firstLine="630" w:firstLineChars="225"/>
        <w:rPr>
          <w:rFonts w:ascii="宋体" w:hAnsi="宋体" w:cs="宋体"/>
          <w:color w:val="auto"/>
          <w:sz w:val="28"/>
          <w:szCs w:val="21"/>
          <w:highlight w:val="none"/>
        </w:rPr>
      </w:pPr>
      <w:r>
        <w:rPr>
          <w:rFonts w:hint="eastAsia" w:ascii="宋体" w:hAnsi="宋体" w:cs="宋体"/>
          <w:color w:val="auto"/>
          <w:sz w:val="28"/>
          <w:szCs w:val="21"/>
          <w:highlight w:val="none"/>
        </w:rPr>
        <w:t>上述人员系</w:t>
      </w:r>
      <w:r>
        <w:rPr>
          <w:rFonts w:hint="eastAsia" w:ascii="宋体" w:hAnsi="宋体" w:cs="宋体"/>
          <w:color w:val="auto"/>
          <w:sz w:val="28"/>
          <w:szCs w:val="21"/>
          <w:highlight w:val="none"/>
          <w:u w:val="single"/>
        </w:rPr>
        <w:t>&lt;供应商名称&gt;</w:t>
      </w:r>
      <w:r>
        <w:rPr>
          <w:rFonts w:hint="eastAsia" w:ascii="宋体" w:hAnsi="宋体" w:cs="宋体"/>
          <w:color w:val="auto"/>
          <w:sz w:val="28"/>
          <w:szCs w:val="21"/>
          <w:highlight w:val="none"/>
        </w:rPr>
        <w:t>的法定代表人，参加</w:t>
      </w:r>
      <w:r>
        <w:rPr>
          <w:rFonts w:hint="eastAsia" w:ascii="宋体" w:hAnsi="宋体" w:cs="宋体"/>
          <w:color w:val="auto"/>
          <w:kern w:val="0"/>
          <w:sz w:val="28"/>
          <w:szCs w:val="21"/>
          <w:highlight w:val="none"/>
          <w:u w:val="single"/>
        </w:rPr>
        <w:t>山东华方项目管理有限公司</w:t>
      </w:r>
      <w:r>
        <w:rPr>
          <w:rFonts w:hint="eastAsia" w:ascii="宋体" w:hAnsi="宋体" w:cs="宋体"/>
          <w:color w:val="auto"/>
          <w:sz w:val="28"/>
          <w:szCs w:val="21"/>
          <w:highlight w:val="none"/>
        </w:rPr>
        <w:t>组织的</w:t>
      </w:r>
      <w:r>
        <w:rPr>
          <w:rFonts w:hint="eastAsia" w:ascii="宋体" w:hAnsi="宋体" w:cs="宋体"/>
          <w:color w:val="auto"/>
          <w:sz w:val="28"/>
          <w:szCs w:val="21"/>
          <w:highlight w:val="none"/>
          <w:u w:val="single"/>
        </w:rPr>
        <w:t xml:space="preserve">          （项目名称）   </w:t>
      </w:r>
      <w:r>
        <w:rPr>
          <w:rFonts w:hint="eastAsia" w:ascii="宋体" w:hAnsi="宋体" w:cs="宋体"/>
          <w:color w:val="auto"/>
          <w:sz w:val="28"/>
          <w:szCs w:val="21"/>
          <w:highlight w:val="none"/>
        </w:rPr>
        <w:t>项目的采购活动；签署上述采购活动过程中的一切文件和处理与之有关的一切事务。</w:t>
      </w:r>
    </w:p>
    <w:p>
      <w:pPr>
        <w:pStyle w:val="7"/>
        <w:spacing w:line="560" w:lineRule="exact"/>
        <w:ind w:firstLine="630" w:firstLineChars="225"/>
        <w:rPr>
          <w:rFonts w:ascii="宋体" w:hAnsi="宋体" w:cs="宋体"/>
          <w:color w:val="auto"/>
          <w:sz w:val="28"/>
          <w:szCs w:val="21"/>
          <w:highlight w:val="none"/>
        </w:rPr>
      </w:pPr>
      <w:r>
        <w:rPr>
          <w:rFonts w:hint="eastAsia" w:ascii="宋体" w:hAnsi="宋体" w:cs="宋体"/>
          <w:color w:val="auto"/>
          <w:sz w:val="28"/>
          <w:szCs w:val="21"/>
          <w:highlight w:val="none"/>
        </w:rPr>
        <w:t>特此证明。</w:t>
      </w:r>
    </w:p>
    <w:p>
      <w:pPr>
        <w:pStyle w:val="7"/>
        <w:spacing w:line="560" w:lineRule="exact"/>
        <w:ind w:firstLine="630" w:firstLineChars="225"/>
        <w:rPr>
          <w:rFonts w:ascii="宋体" w:hAnsi="宋体" w:cs="宋体"/>
          <w:color w:val="auto"/>
          <w:sz w:val="28"/>
          <w:szCs w:val="21"/>
          <w:highlight w:val="none"/>
        </w:rPr>
      </w:pPr>
    </w:p>
    <w:p>
      <w:pPr>
        <w:pStyle w:val="7"/>
        <w:spacing w:line="560" w:lineRule="exact"/>
        <w:ind w:firstLine="630" w:firstLineChars="225"/>
        <w:rPr>
          <w:rFonts w:ascii="宋体" w:hAnsi="宋体" w:cs="宋体"/>
          <w:color w:val="auto"/>
          <w:sz w:val="28"/>
          <w:szCs w:val="21"/>
          <w:highlight w:val="none"/>
        </w:rPr>
      </w:pPr>
    </w:p>
    <w:p>
      <w:pPr>
        <w:spacing w:line="560" w:lineRule="exact"/>
        <w:jc w:val="center"/>
        <w:rPr>
          <w:rFonts w:ascii="宋体" w:hAnsi="宋体" w:cs="宋体"/>
          <w:color w:val="auto"/>
          <w:sz w:val="28"/>
          <w:szCs w:val="21"/>
          <w:highlight w:val="none"/>
        </w:rPr>
      </w:pPr>
      <w:r>
        <w:rPr>
          <w:rFonts w:hint="eastAsia" w:ascii="宋体" w:hAnsi="宋体" w:cs="宋体"/>
          <w:color w:val="auto"/>
          <w:sz w:val="28"/>
          <w:szCs w:val="21"/>
          <w:highlight w:val="none"/>
        </w:rPr>
        <w:t>（此处附贴法定代表人身份证复印件）</w:t>
      </w:r>
    </w:p>
    <w:p>
      <w:pPr>
        <w:pStyle w:val="7"/>
        <w:spacing w:line="560" w:lineRule="exact"/>
        <w:ind w:firstLine="630" w:firstLineChars="225"/>
        <w:rPr>
          <w:rFonts w:ascii="宋体" w:hAnsi="宋体" w:cs="宋体"/>
          <w:color w:val="auto"/>
          <w:sz w:val="28"/>
          <w:szCs w:val="21"/>
          <w:highlight w:val="none"/>
        </w:rPr>
      </w:pPr>
    </w:p>
    <w:p>
      <w:pPr>
        <w:pStyle w:val="7"/>
        <w:spacing w:line="560" w:lineRule="exact"/>
        <w:ind w:firstLine="630" w:firstLineChars="225"/>
        <w:rPr>
          <w:rFonts w:ascii="宋体" w:hAnsi="宋体" w:cs="宋体"/>
          <w:color w:val="auto"/>
          <w:sz w:val="28"/>
          <w:szCs w:val="21"/>
          <w:highlight w:val="none"/>
        </w:rPr>
      </w:pPr>
    </w:p>
    <w:p>
      <w:pPr>
        <w:spacing w:line="560" w:lineRule="exact"/>
        <w:rPr>
          <w:rFonts w:ascii="宋体" w:hAnsi="宋体" w:cs="宋体"/>
          <w:color w:val="auto"/>
          <w:sz w:val="28"/>
          <w:szCs w:val="21"/>
          <w:highlight w:val="none"/>
        </w:rPr>
      </w:pPr>
      <w:r>
        <w:rPr>
          <w:rFonts w:hint="eastAsia" w:ascii="宋体" w:hAnsi="宋体" w:cs="宋体"/>
          <w:color w:val="auto"/>
          <w:sz w:val="28"/>
          <w:szCs w:val="21"/>
          <w:highlight w:val="none"/>
        </w:rPr>
        <w:t>供应商：（公章）</w:t>
      </w:r>
    </w:p>
    <w:p>
      <w:pPr>
        <w:pStyle w:val="24"/>
        <w:ind w:firstLine="440"/>
        <w:rPr>
          <w:color w:val="auto"/>
          <w:sz w:val="22"/>
          <w:szCs w:val="24"/>
          <w:highlight w:val="none"/>
        </w:rPr>
      </w:pPr>
    </w:p>
    <w:p>
      <w:pPr>
        <w:spacing w:line="560" w:lineRule="exact"/>
        <w:rPr>
          <w:rFonts w:ascii="宋体" w:hAnsi="宋体" w:cs="宋体"/>
          <w:color w:val="auto"/>
          <w:sz w:val="28"/>
          <w:szCs w:val="21"/>
          <w:highlight w:val="none"/>
        </w:rPr>
      </w:pPr>
      <w:r>
        <w:rPr>
          <w:rFonts w:hint="eastAsia" w:ascii="宋体" w:hAnsi="宋体" w:cs="宋体"/>
          <w:color w:val="auto"/>
          <w:sz w:val="28"/>
          <w:szCs w:val="21"/>
          <w:highlight w:val="none"/>
        </w:rPr>
        <w:t>日 期：      年  月  日</w:t>
      </w:r>
    </w:p>
    <w:p>
      <w:pPr>
        <w:rPr>
          <w:rFonts w:ascii="宋体" w:hAnsi="宋体"/>
          <w:b/>
          <w:bCs/>
          <w:color w:val="auto"/>
          <w:sz w:val="36"/>
          <w:szCs w:val="36"/>
          <w:highlight w:val="none"/>
        </w:rPr>
      </w:pPr>
    </w:p>
    <w:p>
      <w:pPr>
        <w:rPr>
          <w:rFonts w:ascii="宋体" w:hAnsi="宋体"/>
          <w:b/>
          <w:bCs/>
          <w:color w:val="auto"/>
          <w:sz w:val="36"/>
          <w:szCs w:val="36"/>
          <w:highlight w:val="none"/>
        </w:rPr>
      </w:pPr>
      <w:r>
        <w:rPr>
          <w:rFonts w:hint="eastAsia" w:ascii="宋体" w:hAnsi="宋体"/>
          <w:b/>
          <w:bCs/>
          <w:color w:val="auto"/>
          <w:sz w:val="36"/>
          <w:szCs w:val="36"/>
          <w:highlight w:val="none"/>
        </w:rPr>
        <w:br w:type="page"/>
      </w:r>
    </w:p>
    <w:p>
      <w:pPr>
        <w:spacing w:line="480" w:lineRule="exact"/>
        <w:jc w:val="center"/>
        <w:rPr>
          <w:rFonts w:ascii="宋体" w:hAnsi="宋体"/>
          <w:b/>
          <w:bCs/>
          <w:color w:val="auto"/>
          <w:sz w:val="36"/>
          <w:szCs w:val="36"/>
          <w:highlight w:val="none"/>
        </w:rPr>
      </w:pPr>
      <w:r>
        <w:rPr>
          <w:rFonts w:hint="eastAsia" w:ascii="宋体" w:hAnsi="宋体"/>
          <w:b/>
          <w:bCs/>
          <w:color w:val="auto"/>
          <w:sz w:val="36"/>
          <w:szCs w:val="36"/>
          <w:highlight w:val="none"/>
        </w:rPr>
        <w:t>法定代表人授权委托书</w:t>
      </w:r>
    </w:p>
    <w:p>
      <w:pPr>
        <w:spacing w:line="480" w:lineRule="exact"/>
        <w:jc w:val="center"/>
        <w:rPr>
          <w:rFonts w:ascii="宋体" w:hAnsi="宋体"/>
          <w:b/>
          <w:bCs/>
          <w:color w:val="auto"/>
          <w:sz w:val="48"/>
          <w:szCs w:val="48"/>
          <w:highlight w:val="none"/>
        </w:rPr>
      </w:pP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本授权委托书声明：我</w:t>
      </w:r>
      <w:r>
        <w:rPr>
          <w:rFonts w:hint="eastAsia" w:ascii="宋体" w:hAnsi="宋体"/>
          <w:color w:val="auto"/>
          <w:sz w:val="28"/>
          <w:szCs w:val="21"/>
          <w:highlight w:val="none"/>
          <w:u w:val="single"/>
        </w:rPr>
        <w:t xml:space="preserve">   （姓名）  </w:t>
      </w:r>
      <w:r>
        <w:rPr>
          <w:rFonts w:hint="eastAsia" w:ascii="宋体" w:hAnsi="宋体"/>
          <w:color w:val="auto"/>
          <w:sz w:val="28"/>
          <w:szCs w:val="21"/>
          <w:highlight w:val="none"/>
        </w:rPr>
        <w:t>系</w:t>
      </w:r>
      <w:r>
        <w:rPr>
          <w:rFonts w:hint="eastAsia" w:ascii="宋体" w:hAnsi="宋体"/>
          <w:color w:val="auto"/>
          <w:sz w:val="28"/>
          <w:szCs w:val="21"/>
          <w:highlight w:val="none"/>
          <w:u w:val="single"/>
        </w:rPr>
        <w:t xml:space="preserve">  （供应商名称）  </w:t>
      </w:r>
      <w:r>
        <w:rPr>
          <w:rFonts w:hint="eastAsia" w:ascii="宋体" w:hAnsi="宋体"/>
          <w:color w:val="auto"/>
          <w:sz w:val="28"/>
          <w:szCs w:val="21"/>
          <w:highlight w:val="none"/>
        </w:rPr>
        <w:t>法定代表人，现授权委托</w:t>
      </w:r>
      <w:r>
        <w:rPr>
          <w:rFonts w:hint="eastAsia" w:ascii="宋体" w:hAnsi="宋体"/>
          <w:color w:val="auto"/>
          <w:sz w:val="28"/>
          <w:szCs w:val="21"/>
          <w:highlight w:val="none"/>
          <w:u w:val="single"/>
        </w:rPr>
        <w:t xml:space="preserve">     （姓名、职务或职称）</w:t>
      </w:r>
      <w:r>
        <w:rPr>
          <w:rFonts w:hint="eastAsia" w:ascii="宋体" w:hAnsi="宋体"/>
          <w:color w:val="auto"/>
          <w:sz w:val="28"/>
          <w:szCs w:val="21"/>
          <w:highlight w:val="none"/>
        </w:rPr>
        <w:t>为我单位本次项目的全权代表，以本单位的名义参加</w:t>
      </w:r>
      <w:r>
        <w:rPr>
          <w:rFonts w:hint="eastAsia" w:ascii="宋体" w:hAnsi="宋体" w:cs="宋体"/>
          <w:color w:val="auto"/>
          <w:kern w:val="0"/>
          <w:sz w:val="28"/>
          <w:szCs w:val="21"/>
          <w:highlight w:val="none"/>
          <w:u w:val="single"/>
        </w:rPr>
        <w:t>山东华方项目管理有限公司</w:t>
      </w:r>
      <w:r>
        <w:rPr>
          <w:rFonts w:hint="eastAsia" w:ascii="宋体" w:hAnsi="宋体"/>
          <w:color w:val="auto"/>
          <w:sz w:val="28"/>
          <w:szCs w:val="21"/>
          <w:highlight w:val="none"/>
        </w:rPr>
        <w:t>组织的采购活动，全权代表在参加项目（项目编号：）过程中所签署的一切文件和处理与之有关的一切事务，我均予以承认。</w:t>
      </w:r>
    </w:p>
    <w:p>
      <w:pPr>
        <w:spacing w:line="480" w:lineRule="exact"/>
        <w:ind w:firstLine="525"/>
        <w:rPr>
          <w:rFonts w:ascii="宋体" w:hAnsi="宋体"/>
          <w:color w:val="auto"/>
          <w:sz w:val="28"/>
          <w:szCs w:val="21"/>
          <w:highlight w:val="none"/>
        </w:rPr>
      </w:pPr>
      <w:r>
        <w:rPr>
          <w:rFonts w:hint="eastAsia" w:ascii="宋体" w:hAnsi="宋体"/>
          <w:color w:val="auto"/>
          <w:sz w:val="28"/>
          <w:szCs w:val="21"/>
          <w:highlight w:val="none"/>
        </w:rPr>
        <w:t>全权代表无权转让委托权。特此委托。</w:t>
      </w:r>
    </w:p>
    <w:p>
      <w:pPr>
        <w:spacing w:line="480" w:lineRule="exact"/>
        <w:ind w:left="480" w:firstLine="480"/>
        <w:rPr>
          <w:rFonts w:ascii="宋体" w:hAnsi="宋体"/>
          <w:color w:val="auto"/>
          <w:sz w:val="28"/>
          <w:szCs w:val="21"/>
          <w:highlight w:val="none"/>
        </w:rPr>
      </w:pPr>
    </w:p>
    <w:p>
      <w:pPr>
        <w:spacing w:line="480" w:lineRule="exact"/>
        <w:ind w:left="480" w:firstLine="480"/>
        <w:rPr>
          <w:rFonts w:ascii="宋体" w:hAnsi="宋体"/>
          <w:color w:val="auto"/>
          <w:sz w:val="28"/>
          <w:szCs w:val="21"/>
          <w:highlight w:val="none"/>
        </w:rPr>
      </w:pPr>
    </w:p>
    <w:p>
      <w:pPr>
        <w:spacing w:line="480" w:lineRule="exact"/>
        <w:rPr>
          <w:rFonts w:ascii="宋体" w:hAnsi="宋体"/>
          <w:color w:val="auto"/>
          <w:sz w:val="28"/>
          <w:szCs w:val="21"/>
          <w:highlight w:val="none"/>
        </w:rPr>
      </w:pPr>
    </w:p>
    <w:p>
      <w:pPr>
        <w:spacing w:line="480" w:lineRule="exact"/>
        <w:jc w:val="center"/>
        <w:rPr>
          <w:rFonts w:ascii="宋体" w:hAnsi="宋体"/>
          <w:color w:val="auto"/>
          <w:sz w:val="28"/>
          <w:szCs w:val="21"/>
          <w:highlight w:val="none"/>
        </w:rPr>
      </w:pPr>
      <w:r>
        <w:rPr>
          <w:rFonts w:hint="eastAsia" w:ascii="宋体" w:hAnsi="宋体"/>
          <w:color w:val="auto"/>
          <w:sz w:val="28"/>
          <w:szCs w:val="21"/>
          <w:highlight w:val="none"/>
        </w:rPr>
        <w:t>(附贴全权代表人身份证复印件)</w:t>
      </w:r>
    </w:p>
    <w:p>
      <w:pPr>
        <w:spacing w:line="480" w:lineRule="exact"/>
        <w:jc w:val="center"/>
        <w:rPr>
          <w:rFonts w:ascii="宋体" w:hAnsi="宋体"/>
          <w:color w:val="auto"/>
          <w:sz w:val="28"/>
          <w:szCs w:val="21"/>
          <w:highlight w:val="none"/>
        </w:rPr>
      </w:pPr>
    </w:p>
    <w:p>
      <w:pPr>
        <w:spacing w:line="480" w:lineRule="exact"/>
        <w:jc w:val="center"/>
        <w:rPr>
          <w:rFonts w:ascii="宋体" w:hAnsi="宋体"/>
          <w:color w:val="auto"/>
          <w:sz w:val="28"/>
          <w:szCs w:val="21"/>
          <w:highlight w:val="none"/>
        </w:rPr>
      </w:pPr>
    </w:p>
    <w:p>
      <w:pPr>
        <w:spacing w:line="480" w:lineRule="exact"/>
        <w:rPr>
          <w:rFonts w:ascii="宋体" w:hAnsi="宋体"/>
          <w:color w:val="auto"/>
          <w:sz w:val="28"/>
          <w:szCs w:val="21"/>
          <w:highlight w:val="none"/>
        </w:rPr>
      </w:pPr>
    </w:p>
    <w:p>
      <w:pPr>
        <w:spacing w:line="480" w:lineRule="exact"/>
        <w:jc w:val="center"/>
        <w:rPr>
          <w:rFonts w:ascii="宋体" w:hAnsi="宋体"/>
          <w:color w:val="auto"/>
          <w:sz w:val="28"/>
          <w:szCs w:val="21"/>
          <w:highlight w:val="none"/>
        </w:rPr>
      </w:pPr>
    </w:p>
    <w:p>
      <w:pPr>
        <w:spacing w:line="480" w:lineRule="exact"/>
        <w:rPr>
          <w:rFonts w:ascii="宋体" w:hAnsi="宋体"/>
          <w:color w:val="auto"/>
          <w:sz w:val="28"/>
          <w:szCs w:val="21"/>
          <w:highlight w:val="none"/>
        </w:rPr>
      </w:pPr>
      <w:r>
        <w:rPr>
          <w:rFonts w:hint="eastAsia" w:ascii="宋体" w:hAnsi="宋体"/>
          <w:color w:val="auto"/>
          <w:sz w:val="28"/>
          <w:szCs w:val="21"/>
          <w:highlight w:val="none"/>
        </w:rPr>
        <w:t>全权代表姓名：            性 别：           年 龄：</w:t>
      </w:r>
    </w:p>
    <w:p>
      <w:pPr>
        <w:spacing w:line="480" w:lineRule="exact"/>
        <w:rPr>
          <w:rFonts w:ascii="宋体" w:hAnsi="宋体"/>
          <w:color w:val="auto"/>
          <w:sz w:val="28"/>
          <w:szCs w:val="21"/>
          <w:highlight w:val="none"/>
        </w:rPr>
      </w:pPr>
      <w:r>
        <w:rPr>
          <w:rFonts w:hint="eastAsia" w:ascii="宋体" w:hAnsi="宋体"/>
          <w:color w:val="auto"/>
          <w:sz w:val="28"/>
          <w:szCs w:val="21"/>
          <w:highlight w:val="none"/>
        </w:rPr>
        <w:t>单  位：                  部 门：           职 务：</w:t>
      </w: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r>
        <w:rPr>
          <w:rFonts w:hint="eastAsia" w:ascii="宋体" w:hAnsi="宋体"/>
          <w:color w:val="auto"/>
          <w:sz w:val="28"/>
          <w:szCs w:val="21"/>
          <w:highlight w:val="none"/>
        </w:rPr>
        <w:t>供应商（公章）：</w:t>
      </w:r>
    </w:p>
    <w:p>
      <w:pPr>
        <w:spacing w:line="480" w:lineRule="exact"/>
        <w:rPr>
          <w:rFonts w:ascii="宋体" w:hAnsi="宋体"/>
          <w:color w:val="auto"/>
          <w:sz w:val="28"/>
          <w:szCs w:val="21"/>
          <w:highlight w:val="none"/>
        </w:rPr>
      </w:pPr>
      <w:r>
        <w:rPr>
          <w:rFonts w:hint="eastAsia" w:ascii="宋体" w:hAnsi="宋体"/>
          <w:color w:val="auto"/>
          <w:sz w:val="28"/>
          <w:szCs w:val="21"/>
          <w:highlight w:val="none"/>
        </w:rPr>
        <w:t>法定代表人签字：</w:t>
      </w: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spacing w:line="480" w:lineRule="exact"/>
        <w:rPr>
          <w:rFonts w:ascii="宋体" w:hAnsi="宋体"/>
          <w:color w:val="auto"/>
          <w:sz w:val="28"/>
          <w:szCs w:val="28"/>
          <w:highlight w:val="none"/>
        </w:rPr>
      </w:pPr>
      <w:r>
        <w:rPr>
          <w:rFonts w:hint="eastAsia" w:ascii="宋体" w:hAnsi="宋体"/>
          <w:color w:val="auto"/>
          <w:sz w:val="28"/>
          <w:szCs w:val="21"/>
          <w:highlight w:val="none"/>
        </w:rPr>
        <w:t xml:space="preserve">                                                        年   月   日</w:t>
      </w: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rPr>
          <w:rFonts w:ascii="宋体" w:hAnsi="宋体"/>
          <w:color w:val="auto"/>
          <w:sz w:val="28"/>
          <w:szCs w:val="21"/>
          <w:highlight w:val="none"/>
        </w:rPr>
      </w:pPr>
      <w:r>
        <w:rPr>
          <w:rFonts w:hint="eastAsia" w:ascii="宋体" w:hAnsi="宋体"/>
          <w:color w:val="auto"/>
          <w:sz w:val="28"/>
          <w:szCs w:val="21"/>
          <w:highlight w:val="none"/>
        </w:rPr>
        <w:br w:type="page"/>
      </w:r>
    </w:p>
    <w:p>
      <w:pPr>
        <w:spacing w:line="480" w:lineRule="exact"/>
        <w:rPr>
          <w:rFonts w:ascii="宋体" w:hAnsi="宋体"/>
          <w:color w:val="auto"/>
          <w:sz w:val="28"/>
          <w:szCs w:val="21"/>
          <w:highlight w:val="none"/>
        </w:rPr>
      </w:pPr>
      <w:r>
        <w:rPr>
          <w:rFonts w:hint="eastAsia" w:ascii="宋体" w:hAnsi="宋体"/>
          <w:color w:val="auto"/>
          <w:sz w:val="28"/>
          <w:szCs w:val="21"/>
          <w:highlight w:val="none"/>
        </w:rPr>
        <w:t>附件四：</w:t>
      </w:r>
    </w:p>
    <w:p>
      <w:pPr>
        <w:numPr>
          <w:ilvl w:val="0"/>
          <w:numId w:val="14"/>
        </w:numPr>
        <w:spacing w:line="480" w:lineRule="exact"/>
        <w:ind w:firstLine="3596" w:firstLineChars="995"/>
        <w:rPr>
          <w:rFonts w:ascii="宋体" w:hAnsi="宋体"/>
          <w:b/>
          <w:color w:val="auto"/>
          <w:sz w:val="36"/>
          <w:szCs w:val="36"/>
          <w:highlight w:val="none"/>
        </w:rPr>
      </w:pPr>
      <w:r>
        <w:rPr>
          <w:rFonts w:hint="eastAsia" w:ascii="宋体" w:hAnsi="宋体"/>
          <w:b/>
          <w:color w:val="auto"/>
          <w:sz w:val="36"/>
          <w:szCs w:val="36"/>
          <w:highlight w:val="none"/>
        </w:rPr>
        <w:t>公开报价一览表</w:t>
      </w:r>
    </w:p>
    <w:p>
      <w:pPr>
        <w:pStyle w:val="30"/>
        <w:spacing w:before="143"/>
        <w:rPr>
          <w:color w:val="auto"/>
          <w:sz w:val="28"/>
          <w:szCs w:val="21"/>
          <w:highlight w:val="none"/>
        </w:rPr>
      </w:pPr>
    </w:p>
    <w:p>
      <w:pPr>
        <w:pStyle w:val="30"/>
        <w:spacing w:before="143"/>
        <w:rPr>
          <w:rFonts w:hint="eastAsia" w:eastAsia="宋体"/>
          <w:bCs/>
          <w:color w:val="auto"/>
          <w:sz w:val="32"/>
          <w:szCs w:val="32"/>
          <w:highlight w:val="none"/>
          <w:lang w:eastAsia="zh-CN"/>
        </w:rPr>
      </w:pPr>
      <w:r>
        <w:rPr>
          <w:bCs/>
          <w:color w:val="auto"/>
          <w:sz w:val="32"/>
          <w:szCs w:val="32"/>
          <w:highlight w:val="none"/>
        </w:rPr>
        <w:t>项目名称：</w:t>
      </w:r>
      <w:r>
        <w:rPr>
          <w:rFonts w:hint="eastAsia"/>
          <w:bCs/>
          <w:color w:val="auto"/>
          <w:sz w:val="32"/>
          <w:szCs w:val="32"/>
          <w:highlight w:val="none"/>
          <w:lang w:eastAsia="zh-CN"/>
        </w:rPr>
        <w:t>山东省临沂卫生学校扩建项目图书信息综合楼工程-YT保温采购项目</w:t>
      </w:r>
    </w:p>
    <w:p>
      <w:pPr>
        <w:pStyle w:val="25"/>
        <w:ind w:left="0" w:firstLine="0" w:firstLineChars="0"/>
        <w:rPr>
          <w:rFonts w:hint="eastAsia" w:eastAsia="宋体"/>
          <w:color w:val="auto"/>
          <w:sz w:val="28"/>
          <w:szCs w:val="21"/>
          <w:highlight w:val="none"/>
          <w:lang w:eastAsia="zh-CN"/>
        </w:rPr>
      </w:pPr>
      <w:r>
        <w:rPr>
          <w:rFonts w:ascii="宋体" w:hAnsi="宋体"/>
          <w:bCs/>
          <w:color w:val="auto"/>
          <w:sz w:val="32"/>
          <w:szCs w:val="32"/>
          <w:highlight w:val="none"/>
        </w:rPr>
        <w:t>项目编号：</w:t>
      </w:r>
      <w:r>
        <w:rPr>
          <w:rFonts w:hint="eastAsia" w:ascii="宋体" w:hAnsi="宋体"/>
          <w:bCs/>
          <w:color w:val="auto"/>
          <w:sz w:val="32"/>
          <w:szCs w:val="32"/>
          <w:highlight w:val="none"/>
          <w:lang w:eastAsia="zh-CN"/>
        </w:rPr>
        <w:t>SDHFCG-2021018</w:t>
      </w:r>
    </w:p>
    <w:p>
      <w:pPr>
        <w:pStyle w:val="25"/>
        <w:ind w:left="0" w:firstLine="0" w:firstLineChars="0"/>
        <w:rPr>
          <w:color w:val="auto"/>
          <w:sz w:val="28"/>
          <w:szCs w:val="21"/>
          <w:highlight w:val="none"/>
        </w:rPr>
      </w:pPr>
    </w:p>
    <w:tbl>
      <w:tblPr>
        <w:tblStyle w:val="17"/>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4959"/>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2234" w:type="dxa"/>
            <w:vMerge w:val="restart"/>
            <w:noWrap/>
            <w:vAlign w:val="center"/>
          </w:tcPr>
          <w:p>
            <w:pPr>
              <w:spacing w:line="480" w:lineRule="exact"/>
              <w:ind w:right="-693" w:rightChars="-330"/>
              <w:rPr>
                <w:rFonts w:ascii="宋体" w:hAnsi="宋体" w:cs="宋体"/>
                <w:color w:val="auto"/>
                <w:sz w:val="28"/>
                <w:szCs w:val="28"/>
                <w:highlight w:val="none"/>
              </w:rPr>
            </w:pPr>
            <w:r>
              <w:rPr>
                <w:color w:val="auto"/>
                <w:sz w:val="24"/>
                <w:highlight w:val="none"/>
              </w:rPr>
              <w:t>投标总报价（元）</w:t>
            </w:r>
          </w:p>
        </w:tc>
        <w:tc>
          <w:tcPr>
            <w:tcW w:w="4959" w:type="dxa"/>
            <w:noWrap/>
            <w:vAlign w:val="center"/>
          </w:tcPr>
          <w:p>
            <w:pPr>
              <w:spacing w:line="480" w:lineRule="exact"/>
              <w:ind w:right="-693" w:rightChars="-330" w:firstLine="1960" w:firstLineChars="700"/>
              <w:rPr>
                <w:rFonts w:ascii="宋体" w:hAnsi="宋体" w:cs="宋体"/>
                <w:color w:val="auto"/>
                <w:sz w:val="28"/>
                <w:szCs w:val="28"/>
                <w:highlight w:val="none"/>
              </w:rPr>
            </w:pPr>
            <w:r>
              <w:rPr>
                <w:rFonts w:hint="eastAsia" w:ascii="宋体" w:hAnsi="宋体" w:cs="宋体"/>
                <w:color w:val="auto"/>
                <w:sz w:val="28"/>
                <w:szCs w:val="28"/>
                <w:highlight w:val="none"/>
              </w:rPr>
              <w:t>响应报价</w:t>
            </w:r>
          </w:p>
        </w:tc>
        <w:tc>
          <w:tcPr>
            <w:tcW w:w="1968" w:type="dxa"/>
            <w:noWrap/>
            <w:vAlign w:val="center"/>
          </w:tcPr>
          <w:p>
            <w:pPr>
              <w:spacing w:line="480" w:lineRule="exact"/>
              <w:ind w:right="-693" w:rightChars="-330" w:firstLine="560" w:firstLineChars="200"/>
              <w:jc w:val="both"/>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234" w:type="dxa"/>
            <w:vMerge w:val="continue"/>
            <w:noWrap/>
            <w:vAlign w:val="center"/>
          </w:tcPr>
          <w:p>
            <w:pPr>
              <w:spacing w:line="480" w:lineRule="exact"/>
              <w:ind w:right="-693" w:rightChars="-330" w:firstLine="280" w:firstLineChars="100"/>
              <w:rPr>
                <w:rFonts w:ascii="宋体" w:hAnsi="宋体" w:cs="宋体"/>
                <w:color w:val="auto"/>
                <w:sz w:val="28"/>
                <w:szCs w:val="28"/>
                <w:highlight w:val="none"/>
              </w:rPr>
            </w:pPr>
          </w:p>
        </w:tc>
        <w:tc>
          <w:tcPr>
            <w:tcW w:w="4959" w:type="dxa"/>
            <w:noWrap/>
            <w:vAlign w:val="center"/>
          </w:tcPr>
          <w:p>
            <w:pPr>
              <w:spacing w:line="480" w:lineRule="exact"/>
              <w:ind w:right="-693" w:rightChars="-330"/>
              <w:rPr>
                <w:rFonts w:ascii="宋体" w:hAnsi="宋体" w:cs="宋体"/>
                <w:color w:val="auto"/>
                <w:sz w:val="28"/>
                <w:szCs w:val="28"/>
                <w:highlight w:val="none"/>
              </w:rPr>
            </w:pPr>
            <w:r>
              <w:rPr>
                <w:rFonts w:hint="eastAsia" w:ascii="宋体" w:hAnsi="宋体" w:cs="宋体"/>
                <w:bCs/>
                <w:color w:val="auto"/>
                <w:sz w:val="28"/>
                <w:szCs w:val="28"/>
                <w:highlight w:val="none"/>
              </w:rPr>
              <w:t>大写：</w:t>
            </w:r>
            <w:r>
              <w:rPr>
                <w:rFonts w:hint="eastAsia" w:ascii="宋体" w:hAnsi="宋体" w:cs="宋体"/>
                <w:bCs/>
                <w:color w:val="auto"/>
                <w:sz w:val="28"/>
                <w:szCs w:val="28"/>
                <w:highlight w:val="none"/>
                <w:lang w:val="en-US" w:eastAsia="zh-CN"/>
              </w:rPr>
              <w:t xml:space="preserve">             </w:t>
            </w:r>
          </w:p>
        </w:tc>
        <w:tc>
          <w:tcPr>
            <w:tcW w:w="1968" w:type="dxa"/>
            <w:noWrap/>
            <w:vAlign w:val="center"/>
          </w:tcPr>
          <w:p>
            <w:pPr>
              <w:spacing w:line="480" w:lineRule="exact"/>
              <w:ind w:right="-693" w:rightChars="-330" w:firstLine="560" w:firstLineChars="200"/>
              <w:jc w:val="both"/>
              <w:rPr>
                <w:rFonts w:hint="default" w:ascii="宋体" w:hAnsi="宋体" w:eastAsia="宋体" w:cs="宋体"/>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234" w:type="dxa"/>
            <w:vMerge w:val="continue"/>
            <w:noWrap/>
            <w:vAlign w:val="center"/>
          </w:tcPr>
          <w:p>
            <w:pPr>
              <w:spacing w:line="480" w:lineRule="exact"/>
              <w:ind w:right="-693" w:rightChars="-330"/>
              <w:rPr>
                <w:color w:val="auto"/>
                <w:highlight w:val="none"/>
              </w:rPr>
            </w:pPr>
          </w:p>
        </w:tc>
        <w:tc>
          <w:tcPr>
            <w:tcW w:w="4959" w:type="dxa"/>
            <w:noWrap/>
            <w:vAlign w:val="center"/>
          </w:tcPr>
          <w:p>
            <w:pPr>
              <w:spacing w:line="480" w:lineRule="exact"/>
              <w:ind w:right="-693" w:rightChars="-330"/>
              <w:rPr>
                <w:color w:val="auto"/>
                <w:highlight w:val="none"/>
              </w:rPr>
            </w:pPr>
            <w:r>
              <w:rPr>
                <w:rFonts w:hint="eastAsia" w:ascii="宋体" w:hAnsi="宋体" w:cs="宋体"/>
                <w:bCs/>
                <w:color w:val="auto"/>
                <w:sz w:val="28"/>
                <w:szCs w:val="28"/>
                <w:highlight w:val="none"/>
              </w:rPr>
              <w:t>小写：</w:t>
            </w:r>
          </w:p>
        </w:tc>
        <w:tc>
          <w:tcPr>
            <w:tcW w:w="1968" w:type="dxa"/>
            <w:noWrap/>
            <w:vAlign w:val="center"/>
          </w:tcPr>
          <w:p>
            <w:pPr>
              <w:spacing w:line="480" w:lineRule="exact"/>
              <w:ind w:right="-693" w:rightChars="-330"/>
              <w:rPr>
                <w:rFonts w:hint="eastAsia" w:ascii="宋体" w:hAnsi="宋体" w:cs="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234" w:type="dxa"/>
            <w:noWrap/>
            <w:vAlign w:val="center"/>
          </w:tcPr>
          <w:p>
            <w:pPr>
              <w:spacing w:line="480" w:lineRule="exact"/>
              <w:ind w:right="-693" w:rightChars="-330"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备 注</w:t>
            </w:r>
          </w:p>
        </w:tc>
        <w:tc>
          <w:tcPr>
            <w:tcW w:w="4959" w:type="dxa"/>
            <w:noWrap/>
            <w:vAlign w:val="center"/>
          </w:tcPr>
          <w:p>
            <w:pPr>
              <w:spacing w:line="480" w:lineRule="exact"/>
              <w:ind w:right="-693" w:rightChars="-330"/>
              <w:rPr>
                <w:rFonts w:ascii="宋体" w:hAnsi="宋体" w:cs="宋体"/>
                <w:bCs/>
                <w:color w:val="auto"/>
                <w:sz w:val="28"/>
                <w:szCs w:val="28"/>
                <w:highlight w:val="none"/>
              </w:rPr>
            </w:pPr>
          </w:p>
        </w:tc>
        <w:tc>
          <w:tcPr>
            <w:tcW w:w="1968" w:type="dxa"/>
            <w:noWrap/>
            <w:vAlign w:val="center"/>
          </w:tcPr>
          <w:p>
            <w:pPr>
              <w:spacing w:line="480" w:lineRule="exact"/>
              <w:ind w:right="-693" w:rightChars="-330"/>
              <w:rPr>
                <w:rFonts w:ascii="宋体" w:hAnsi="宋体" w:cs="宋体"/>
                <w:bCs/>
                <w:color w:val="auto"/>
                <w:sz w:val="28"/>
                <w:szCs w:val="28"/>
                <w:highlight w:val="none"/>
              </w:rPr>
            </w:pPr>
          </w:p>
        </w:tc>
      </w:tr>
    </w:tbl>
    <w:p>
      <w:pPr>
        <w:pStyle w:val="25"/>
        <w:ind w:left="0" w:firstLine="0" w:firstLineChars="0"/>
        <w:rPr>
          <w:color w:val="auto"/>
          <w:sz w:val="28"/>
          <w:szCs w:val="21"/>
          <w:highlight w:val="none"/>
        </w:rPr>
      </w:pPr>
    </w:p>
    <w:p>
      <w:pPr>
        <w:spacing w:line="480" w:lineRule="exact"/>
        <w:rPr>
          <w:rFonts w:ascii="宋体" w:hAnsi="宋体"/>
          <w:b/>
          <w:bCs/>
          <w:color w:val="auto"/>
          <w:sz w:val="28"/>
          <w:szCs w:val="21"/>
          <w:highlight w:val="none"/>
        </w:rPr>
      </w:pPr>
      <w:r>
        <w:rPr>
          <w:rFonts w:hint="eastAsia" w:ascii="宋体" w:hAnsi="宋体"/>
          <w:b/>
          <w:bCs/>
          <w:color w:val="auto"/>
          <w:sz w:val="28"/>
          <w:szCs w:val="21"/>
          <w:highlight w:val="none"/>
        </w:rPr>
        <w:t>注：</w:t>
      </w:r>
    </w:p>
    <w:p>
      <w:pPr>
        <w:spacing w:line="480" w:lineRule="exact"/>
        <w:rPr>
          <w:rFonts w:ascii="宋体" w:hAnsi="宋体"/>
          <w:b/>
          <w:bCs/>
          <w:color w:val="auto"/>
          <w:sz w:val="28"/>
          <w:szCs w:val="21"/>
          <w:highlight w:val="none"/>
        </w:rPr>
      </w:pPr>
      <w:r>
        <w:rPr>
          <w:rFonts w:hint="eastAsia" w:ascii="宋体" w:hAnsi="宋体"/>
          <w:b/>
          <w:bCs/>
          <w:color w:val="auto"/>
          <w:sz w:val="28"/>
          <w:szCs w:val="21"/>
          <w:highlight w:val="none"/>
        </w:rPr>
        <w:t>1、报价单位为人民币元；</w:t>
      </w:r>
    </w:p>
    <w:p>
      <w:pPr>
        <w:tabs>
          <w:tab w:val="left" w:pos="720"/>
          <w:tab w:val="left" w:pos="900"/>
          <w:tab w:val="left" w:pos="1080"/>
        </w:tabs>
        <w:topLinePunct/>
        <w:spacing w:line="460" w:lineRule="exact"/>
        <w:jc w:val="left"/>
        <w:rPr>
          <w:rFonts w:ascii="宋体" w:hAnsi="宋体" w:cs="宋体"/>
          <w:b/>
          <w:bCs/>
          <w:color w:val="auto"/>
          <w:sz w:val="28"/>
          <w:szCs w:val="28"/>
          <w:highlight w:val="none"/>
        </w:rPr>
      </w:pPr>
      <w:r>
        <w:rPr>
          <w:rFonts w:hint="eastAsia" w:ascii="宋体" w:hAnsi="宋体"/>
          <w:b/>
          <w:bCs/>
          <w:color w:val="auto"/>
          <w:sz w:val="28"/>
          <w:szCs w:val="21"/>
          <w:highlight w:val="none"/>
        </w:rPr>
        <w:t>2、</w:t>
      </w:r>
      <w:r>
        <w:rPr>
          <w:rFonts w:hint="eastAsia" w:ascii="宋体" w:hAnsi="宋体" w:cs="宋体"/>
          <w:b/>
          <w:bCs/>
          <w:color w:val="auto"/>
          <w:sz w:val="28"/>
          <w:szCs w:val="28"/>
          <w:highlight w:val="none"/>
        </w:rPr>
        <w:t>标报价包含为完成本项目所需的全部费用，应包括包含施工所涉及到的人工费、材料费、机械费、总承包服务费、验收费、一般检测及特殊检测费、保险费、管理费、利润、措施费、规费、税金，政策性文件的规定以及包括但不限于原材料涨价等合同明示或暗示的所有一切风险、责任和义务等为完成本项目所需的一切费用。</w:t>
      </w:r>
    </w:p>
    <w:p>
      <w:pPr>
        <w:spacing w:line="480" w:lineRule="exact"/>
        <w:rPr>
          <w:rFonts w:ascii="宋体" w:hAnsi="宋体"/>
          <w:color w:val="auto"/>
          <w:sz w:val="28"/>
          <w:szCs w:val="21"/>
          <w:highlight w:val="none"/>
        </w:rPr>
      </w:pPr>
      <w:r>
        <w:rPr>
          <w:rFonts w:hint="eastAsia" w:ascii="宋体" w:hAnsi="宋体"/>
          <w:color w:val="auto"/>
          <w:sz w:val="28"/>
          <w:szCs w:val="21"/>
          <w:highlight w:val="none"/>
        </w:rPr>
        <w:t>3、表格不够可按相同格式加以扩展。</w:t>
      </w: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r>
        <w:rPr>
          <w:rFonts w:hint="eastAsia" w:ascii="宋体" w:hAnsi="宋体"/>
          <w:color w:val="auto"/>
          <w:sz w:val="28"/>
          <w:szCs w:val="21"/>
          <w:highlight w:val="none"/>
        </w:rPr>
        <w:t>供应商：（公章）</w:t>
      </w:r>
    </w:p>
    <w:p>
      <w:pPr>
        <w:spacing w:line="480" w:lineRule="exact"/>
        <w:rPr>
          <w:rFonts w:ascii="宋体" w:hAnsi="宋体"/>
          <w:color w:val="auto"/>
          <w:sz w:val="28"/>
          <w:szCs w:val="21"/>
          <w:highlight w:val="none"/>
        </w:rPr>
      </w:pPr>
      <w:r>
        <w:rPr>
          <w:rFonts w:hint="eastAsia" w:ascii="宋体" w:hAnsi="宋体"/>
          <w:color w:val="auto"/>
          <w:sz w:val="28"/>
          <w:szCs w:val="21"/>
          <w:highlight w:val="none"/>
        </w:rPr>
        <w:t>法定代表人或供应商全权代表：（签字或印章）</w:t>
      </w:r>
    </w:p>
    <w:p>
      <w:pPr>
        <w:spacing w:line="480" w:lineRule="exact"/>
        <w:ind w:firstLine="7280" w:firstLineChars="2600"/>
        <w:rPr>
          <w:rFonts w:ascii="宋体" w:hAnsi="宋体"/>
          <w:color w:val="auto"/>
          <w:sz w:val="28"/>
          <w:szCs w:val="21"/>
          <w:highlight w:val="none"/>
        </w:rPr>
      </w:pPr>
      <w:r>
        <w:rPr>
          <w:rFonts w:hint="eastAsia" w:ascii="宋体" w:hAnsi="宋体"/>
          <w:color w:val="auto"/>
          <w:sz w:val="28"/>
          <w:szCs w:val="21"/>
          <w:highlight w:val="none"/>
        </w:rPr>
        <w:t>年  月  日</w:t>
      </w:r>
    </w:p>
    <w:p>
      <w:pPr>
        <w:rPr>
          <w:rFonts w:hint="eastAsia"/>
          <w:color w:val="auto"/>
          <w:highlight w:val="none"/>
        </w:rPr>
      </w:pPr>
    </w:p>
    <w:p>
      <w:pPr>
        <w:spacing w:line="480" w:lineRule="exact"/>
        <w:rPr>
          <w:rFonts w:ascii="宋体" w:hAnsi="宋体"/>
          <w:b/>
          <w:color w:val="auto"/>
          <w:sz w:val="36"/>
          <w:szCs w:val="36"/>
          <w:highlight w:val="none"/>
        </w:rPr>
      </w:pPr>
      <w:r>
        <w:rPr>
          <w:rFonts w:hint="eastAsia" w:ascii="宋体" w:hAnsi="宋体"/>
          <w:color w:val="auto"/>
          <w:sz w:val="28"/>
          <w:szCs w:val="21"/>
          <w:highlight w:val="none"/>
        </w:rPr>
        <w:t>附件五：</w:t>
      </w:r>
    </w:p>
    <w:p>
      <w:pPr>
        <w:pStyle w:val="2"/>
        <w:jc w:val="center"/>
        <w:rPr>
          <w:rFonts w:hint="eastAsia" w:ascii="宋体" w:hAnsi="宋体"/>
          <w:b/>
          <w:bCs/>
          <w:color w:val="auto"/>
          <w:sz w:val="52"/>
          <w:szCs w:val="40"/>
          <w:highlight w:val="none"/>
          <w:lang w:val="en-US" w:eastAsia="zh-CN"/>
        </w:rPr>
      </w:pPr>
      <w:r>
        <w:rPr>
          <w:rFonts w:hint="eastAsia" w:ascii="宋体" w:hAnsi="宋体" w:cs="Times New Roman"/>
          <w:b/>
          <w:color w:val="auto"/>
          <w:sz w:val="36"/>
          <w:szCs w:val="36"/>
          <w:highlight w:val="none"/>
          <w:lang w:val="en-US" w:eastAsia="zh-CN"/>
        </w:rPr>
        <w:t>工程量清单</w:t>
      </w:r>
    </w:p>
    <w:tbl>
      <w:tblPr>
        <w:tblStyle w:val="17"/>
        <w:tblpPr w:leftFromText="180" w:rightFromText="180" w:vertAnchor="text" w:horzAnchor="page" w:tblpX="1205" w:tblpY="595"/>
        <w:tblOverlap w:val="never"/>
        <w:tblW w:w="98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9"/>
        <w:gridCol w:w="1993"/>
        <w:gridCol w:w="2768"/>
        <w:gridCol w:w="552"/>
        <w:gridCol w:w="828"/>
        <w:gridCol w:w="1350"/>
        <w:gridCol w:w="825"/>
        <w:gridCol w:w="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539"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993"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right="97" w:rightChars="46"/>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项目名称</w:t>
            </w:r>
          </w:p>
        </w:tc>
        <w:tc>
          <w:tcPr>
            <w:tcW w:w="276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right="420" w:rightChars="20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工作内容</w:t>
            </w:r>
          </w:p>
        </w:tc>
        <w:tc>
          <w:tcPr>
            <w:tcW w:w="552"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828"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工程量</w:t>
            </w:r>
          </w:p>
        </w:tc>
        <w:tc>
          <w:tcPr>
            <w:tcW w:w="135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全费用单价（元/㎡）</w:t>
            </w:r>
          </w:p>
        </w:tc>
        <w:tc>
          <w:tcPr>
            <w:tcW w:w="82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合计</w:t>
            </w:r>
          </w:p>
          <w:p>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（元）</w:t>
            </w:r>
          </w:p>
        </w:tc>
        <w:tc>
          <w:tcPr>
            <w:tcW w:w="947"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5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外墙面</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YT保温抹分遍抹50mm厚，抗裂砂浆一遍（3~5mm），内压160g/㎡耐碱玻纤网</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9560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3" w:hRule="atLeast"/>
        </w:trPr>
        <w:tc>
          <w:tcPr>
            <w:tcW w:w="5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外墙门窗洞口及女儿墙、突出外墙檐板</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YT保温抹分遍抹30mm厚，抗裂砂浆一遍（3~5mm），内压160g/㎡耐碱玻纤网</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1000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5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变形缝两侧内墙面</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YT保温抹分遍抹50mm厚，内压160g/㎡耐碱玻纤网</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1685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5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外墙内侧</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YT保温抹分遍抹40mm厚，内压160g/㎡耐碱玻纤网</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6174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地下车库与供暖房间之间的楼板、底面接触室外空气的架空或外挑楼板</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YT保温抹分遍抹30mm厚，内压160g/㎡耐碱玻纤网</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5800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53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非供暖楼梯间与供暖房间之间的隔墙</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YT保温抹分遍抹20mm厚，内压160g/㎡耐碱玻纤网</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210 </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税金9%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300" w:type="dxa"/>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合计</w:t>
            </w:r>
            <w:r>
              <w:rPr>
                <w:rFonts w:hint="eastAsia" w:ascii="宋体" w:hAnsi="宋体" w:cs="宋体"/>
                <w:b/>
                <w:bCs/>
                <w:i w:val="0"/>
                <w:iCs w:val="0"/>
                <w:color w:val="auto"/>
                <w:kern w:val="0"/>
                <w:sz w:val="24"/>
                <w:szCs w:val="24"/>
                <w:highlight w:val="none"/>
                <w:u w:val="none"/>
                <w:lang w:val="en-US" w:eastAsia="zh-CN" w:bidi="ar"/>
              </w:rPr>
              <w:t>（元）</w:t>
            </w:r>
          </w:p>
        </w:tc>
        <w:tc>
          <w:tcPr>
            <w:tcW w:w="355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4"/>
                <w:szCs w:val="24"/>
                <w:highlight w:val="none"/>
                <w:u w:val="none"/>
              </w:rPr>
            </w:pPr>
          </w:p>
        </w:tc>
        <w:tc>
          <w:tcPr>
            <w:tcW w:w="94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7" w:hRule="atLeast"/>
        </w:trPr>
        <w:tc>
          <w:tcPr>
            <w:tcW w:w="9802" w:type="dxa"/>
            <w:gridSpan w:val="8"/>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费用单价包含施工所涉及到的人工费、材料费、机械费、总承包服务费、验收费、一般检测及特殊检测费、保险费、管理费、利润、措施费、规费、税金，政策性文件的规定以及包括但不限于原材料涨价等合同明示或暗示的所有一切风险、责任和义务等为完成本项目所需的一切费用。</w:t>
            </w:r>
          </w:p>
        </w:tc>
      </w:tr>
    </w:tbl>
    <w:p>
      <w:pPr>
        <w:topLinePunct/>
        <w:spacing w:line="480" w:lineRule="exact"/>
        <w:rPr>
          <w:rFonts w:hint="eastAsia" w:ascii="宋体" w:hAnsi="宋体"/>
          <w:color w:val="auto"/>
          <w:sz w:val="28"/>
          <w:szCs w:val="21"/>
          <w:highlight w:val="none"/>
        </w:rPr>
      </w:pPr>
    </w:p>
    <w:p>
      <w:pPr>
        <w:topLinePunct/>
        <w:spacing w:line="480" w:lineRule="exact"/>
        <w:rPr>
          <w:rFonts w:ascii="宋体" w:hAnsi="宋体"/>
          <w:color w:val="auto"/>
          <w:sz w:val="28"/>
          <w:szCs w:val="21"/>
          <w:highlight w:val="none"/>
        </w:rPr>
      </w:pPr>
      <w:r>
        <w:rPr>
          <w:rFonts w:hint="eastAsia" w:ascii="宋体" w:hAnsi="宋体"/>
          <w:color w:val="auto"/>
          <w:sz w:val="28"/>
          <w:szCs w:val="21"/>
          <w:highlight w:val="none"/>
        </w:rPr>
        <w:t xml:space="preserve">附件六：  </w:t>
      </w:r>
    </w:p>
    <w:p>
      <w:pPr>
        <w:spacing w:before="100" w:beforeAutospacing="1" w:after="100" w:afterAutospacing="1" w:line="440" w:lineRule="exact"/>
        <w:jc w:val="center"/>
        <w:rPr>
          <w:rFonts w:ascii="宋体" w:hAnsi="宋体"/>
          <w:b/>
          <w:color w:val="auto"/>
          <w:sz w:val="36"/>
          <w:szCs w:val="36"/>
          <w:highlight w:val="none"/>
        </w:rPr>
      </w:pPr>
      <w:r>
        <w:rPr>
          <w:rFonts w:hint="eastAsia" w:ascii="宋体" w:hAnsi="宋体"/>
          <w:b/>
          <w:color w:val="auto"/>
          <w:sz w:val="36"/>
          <w:szCs w:val="36"/>
          <w:highlight w:val="none"/>
        </w:rPr>
        <w:t>供应商基本情况表</w:t>
      </w:r>
    </w:p>
    <w:tbl>
      <w:tblPr>
        <w:tblStyle w:val="17"/>
        <w:tblW w:w="0" w:type="auto"/>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60"/>
        <w:gridCol w:w="1768"/>
        <w:gridCol w:w="706"/>
        <w:gridCol w:w="1224"/>
        <w:gridCol w:w="355"/>
        <w:gridCol w:w="268"/>
        <w:gridCol w:w="77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979" w:type="dxa"/>
            <w:gridSpan w:val="2"/>
            <w:noWrap/>
            <w:vAlign w:val="center"/>
          </w:tcPr>
          <w:p>
            <w:pPr>
              <w:spacing w:line="440" w:lineRule="exact"/>
              <w:jc w:val="center"/>
              <w:rPr>
                <w:rFonts w:ascii="宋体" w:hAnsi="宋体"/>
                <w:color w:val="auto"/>
                <w:sz w:val="28"/>
                <w:szCs w:val="28"/>
                <w:highlight w:val="none"/>
              </w:rPr>
            </w:pPr>
            <w:r>
              <w:rPr>
                <w:rFonts w:hint="eastAsia" w:ascii="宋体" w:hAnsi="宋体"/>
                <w:color w:val="auto"/>
                <w:sz w:val="28"/>
                <w:szCs w:val="28"/>
                <w:highlight w:val="none"/>
              </w:rPr>
              <w:t>供应商名称</w:t>
            </w:r>
          </w:p>
        </w:tc>
        <w:tc>
          <w:tcPr>
            <w:tcW w:w="2474" w:type="dxa"/>
            <w:gridSpan w:val="2"/>
            <w:noWrap/>
            <w:vAlign w:val="center"/>
          </w:tcPr>
          <w:p>
            <w:pPr>
              <w:spacing w:line="440" w:lineRule="exact"/>
              <w:jc w:val="center"/>
              <w:rPr>
                <w:rFonts w:ascii="宋体" w:hAnsi="宋体"/>
                <w:color w:val="auto"/>
                <w:sz w:val="28"/>
                <w:szCs w:val="28"/>
                <w:highlight w:val="none"/>
              </w:rPr>
            </w:pPr>
          </w:p>
        </w:tc>
        <w:tc>
          <w:tcPr>
            <w:tcW w:w="1847" w:type="dxa"/>
            <w:gridSpan w:val="3"/>
            <w:noWrap/>
            <w:vAlign w:val="center"/>
          </w:tcPr>
          <w:p>
            <w:pPr>
              <w:spacing w:line="440" w:lineRule="exact"/>
              <w:jc w:val="center"/>
              <w:rPr>
                <w:rFonts w:ascii="宋体" w:hAnsi="宋体"/>
                <w:color w:val="auto"/>
                <w:sz w:val="28"/>
                <w:szCs w:val="28"/>
                <w:highlight w:val="none"/>
              </w:rPr>
            </w:pPr>
            <w:r>
              <w:rPr>
                <w:rFonts w:hint="eastAsia" w:ascii="宋体" w:hAnsi="宋体"/>
                <w:color w:val="auto"/>
                <w:sz w:val="28"/>
                <w:szCs w:val="28"/>
                <w:highlight w:val="none"/>
              </w:rPr>
              <w:t>主要业务</w:t>
            </w:r>
          </w:p>
        </w:tc>
        <w:tc>
          <w:tcPr>
            <w:tcW w:w="2700" w:type="dxa"/>
            <w:gridSpan w:val="2"/>
            <w:noWrap/>
            <w:vAlign w:val="center"/>
          </w:tcPr>
          <w:p>
            <w:pPr>
              <w:spacing w:line="440" w:lineRule="exact"/>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cs="Arial"/>
                <w:bCs/>
                <w:color w:val="auto"/>
                <w:sz w:val="28"/>
                <w:szCs w:val="28"/>
                <w:highlight w:val="none"/>
              </w:rPr>
            </w:pPr>
            <w:r>
              <w:rPr>
                <w:rFonts w:hint="eastAsia" w:ascii="宋体" w:hAnsi="宋体"/>
                <w:bCs/>
                <w:color w:val="auto"/>
                <w:sz w:val="28"/>
                <w:szCs w:val="28"/>
                <w:highlight w:val="none"/>
              </w:rPr>
              <w:t>注册资金</w:t>
            </w:r>
          </w:p>
        </w:tc>
        <w:tc>
          <w:tcPr>
            <w:tcW w:w="2474" w:type="dxa"/>
            <w:gridSpan w:val="2"/>
            <w:noWrap/>
            <w:vAlign w:val="center"/>
          </w:tcPr>
          <w:p>
            <w:pPr>
              <w:spacing w:line="440" w:lineRule="exact"/>
              <w:jc w:val="center"/>
              <w:rPr>
                <w:rFonts w:ascii="宋体" w:hAnsi="宋体"/>
                <w:bCs/>
                <w:color w:val="auto"/>
                <w:sz w:val="28"/>
                <w:szCs w:val="28"/>
                <w:highlight w:val="none"/>
              </w:rPr>
            </w:pPr>
          </w:p>
        </w:tc>
        <w:tc>
          <w:tcPr>
            <w:tcW w:w="1847" w:type="dxa"/>
            <w:gridSpan w:val="3"/>
            <w:noWrap/>
            <w:vAlign w:val="center"/>
          </w:tcPr>
          <w:p>
            <w:pPr>
              <w:spacing w:line="440" w:lineRule="exact"/>
              <w:jc w:val="center"/>
              <w:rPr>
                <w:rFonts w:ascii="宋体" w:hAnsi="宋体"/>
                <w:bCs/>
                <w:color w:val="auto"/>
                <w:sz w:val="28"/>
                <w:szCs w:val="28"/>
                <w:highlight w:val="none"/>
              </w:rPr>
            </w:pPr>
            <w:r>
              <w:rPr>
                <w:rFonts w:hint="eastAsia" w:ascii="宋体" w:hAnsi="宋体"/>
                <w:bCs/>
                <w:color w:val="auto"/>
                <w:sz w:val="28"/>
                <w:szCs w:val="28"/>
                <w:highlight w:val="none"/>
              </w:rPr>
              <w:t>现有职工人数</w:t>
            </w:r>
          </w:p>
        </w:tc>
        <w:tc>
          <w:tcPr>
            <w:tcW w:w="2700" w:type="dxa"/>
            <w:gridSpan w:val="2"/>
            <w:noWrap/>
            <w:vAlign w:val="center"/>
          </w:tcPr>
          <w:p>
            <w:pPr>
              <w:spacing w:line="440" w:lineRule="exact"/>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bCs/>
                <w:color w:val="auto"/>
                <w:sz w:val="28"/>
                <w:szCs w:val="28"/>
                <w:highlight w:val="none"/>
              </w:rPr>
            </w:pPr>
            <w:r>
              <w:rPr>
                <w:rFonts w:hint="eastAsia" w:ascii="宋体" w:hAnsi="宋体"/>
                <w:color w:val="auto"/>
                <w:sz w:val="28"/>
                <w:szCs w:val="28"/>
                <w:highlight w:val="none"/>
              </w:rPr>
              <w:t>行政管理人数</w:t>
            </w:r>
          </w:p>
        </w:tc>
        <w:tc>
          <w:tcPr>
            <w:tcW w:w="2474" w:type="dxa"/>
            <w:gridSpan w:val="2"/>
            <w:noWrap/>
            <w:vAlign w:val="center"/>
          </w:tcPr>
          <w:p>
            <w:pPr>
              <w:spacing w:line="440" w:lineRule="exact"/>
              <w:jc w:val="center"/>
              <w:rPr>
                <w:rFonts w:ascii="宋体" w:hAnsi="宋体"/>
                <w:bCs/>
                <w:color w:val="auto"/>
                <w:sz w:val="28"/>
                <w:szCs w:val="28"/>
                <w:highlight w:val="none"/>
              </w:rPr>
            </w:pPr>
          </w:p>
        </w:tc>
        <w:tc>
          <w:tcPr>
            <w:tcW w:w="1847" w:type="dxa"/>
            <w:gridSpan w:val="3"/>
            <w:noWrap/>
            <w:vAlign w:val="center"/>
          </w:tcPr>
          <w:p>
            <w:pPr>
              <w:spacing w:line="440" w:lineRule="exact"/>
              <w:jc w:val="center"/>
              <w:rPr>
                <w:rFonts w:ascii="宋体" w:hAnsi="宋体"/>
                <w:bCs/>
                <w:color w:val="auto"/>
                <w:sz w:val="28"/>
                <w:szCs w:val="28"/>
                <w:highlight w:val="none"/>
              </w:rPr>
            </w:pPr>
            <w:r>
              <w:rPr>
                <w:rFonts w:hint="eastAsia" w:ascii="宋体" w:hAnsi="宋体"/>
                <w:bCs/>
                <w:color w:val="auto"/>
                <w:sz w:val="28"/>
                <w:szCs w:val="28"/>
                <w:highlight w:val="none"/>
              </w:rPr>
              <w:t>技术人员人数</w:t>
            </w:r>
          </w:p>
        </w:tc>
        <w:tc>
          <w:tcPr>
            <w:tcW w:w="2700" w:type="dxa"/>
            <w:gridSpan w:val="2"/>
            <w:noWrap/>
            <w:vAlign w:val="center"/>
          </w:tcPr>
          <w:p>
            <w:pPr>
              <w:spacing w:line="440" w:lineRule="exact"/>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cs="Arial"/>
                <w:bCs/>
                <w:color w:val="auto"/>
                <w:sz w:val="28"/>
                <w:szCs w:val="28"/>
                <w:highlight w:val="none"/>
              </w:rPr>
            </w:pPr>
            <w:r>
              <w:rPr>
                <w:rFonts w:hint="eastAsia" w:ascii="宋体" w:hAnsi="宋体" w:cs="Arial"/>
                <w:bCs/>
                <w:color w:val="auto"/>
                <w:sz w:val="28"/>
                <w:szCs w:val="28"/>
                <w:highlight w:val="none"/>
              </w:rPr>
              <w:t>营业执照</w:t>
            </w:r>
          </w:p>
        </w:tc>
        <w:tc>
          <w:tcPr>
            <w:tcW w:w="7021" w:type="dxa"/>
            <w:gridSpan w:val="7"/>
            <w:noWrap/>
            <w:vAlign w:val="center"/>
          </w:tcPr>
          <w:p>
            <w:pPr>
              <w:spacing w:line="440" w:lineRule="exact"/>
              <w:jc w:val="center"/>
              <w:rPr>
                <w:rFonts w:ascii="宋体" w:hAnsi="宋体" w:cs="Arial"/>
                <w:bCs/>
                <w:color w:val="auto"/>
                <w:sz w:val="28"/>
                <w:szCs w:val="28"/>
                <w:highlight w:val="none"/>
              </w:rPr>
            </w:pPr>
            <w:r>
              <w:rPr>
                <w:rFonts w:hint="eastAsia" w:ascii="宋体" w:hAnsi="宋体" w:cs="Arial"/>
                <w:bCs/>
                <w:color w:val="auto"/>
                <w:sz w:val="28"/>
                <w:szCs w:val="28"/>
                <w:highlight w:val="none"/>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bCs/>
                <w:color w:val="auto"/>
                <w:sz w:val="28"/>
                <w:szCs w:val="28"/>
                <w:highlight w:val="none"/>
              </w:rPr>
            </w:pPr>
            <w:r>
              <w:rPr>
                <w:rFonts w:hint="eastAsia" w:ascii="宋体" w:hAnsi="宋体"/>
                <w:bCs/>
                <w:color w:val="auto"/>
                <w:sz w:val="28"/>
                <w:szCs w:val="28"/>
                <w:highlight w:val="none"/>
              </w:rPr>
              <w:t>单位资质</w:t>
            </w:r>
          </w:p>
        </w:tc>
        <w:tc>
          <w:tcPr>
            <w:tcW w:w="7021" w:type="dxa"/>
            <w:gridSpan w:val="7"/>
            <w:noWrap/>
            <w:vAlign w:val="center"/>
          </w:tcPr>
          <w:p>
            <w:pPr>
              <w:spacing w:line="440" w:lineRule="exact"/>
              <w:jc w:val="center"/>
              <w:rPr>
                <w:rFonts w:ascii="宋体" w:hAnsi="宋体"/>
                <w:bCs/>
                <w:color w:val="auto"/>
                <w:sz w:val="28"/>
                <w:szCs w:val="28"/>
                <w:highlight w:val="none"/>
              </w:rPr>
            </w:pPr>
            <w:r>
              <w:rPr>
                <w:rFonts w:hint="eastAsia" w:ascii="宋体" w:hAnsi="宋体" w:cs="Arial"/>
                <w:bCs/>
                <w:color w:val="auto"/>
                <w:sz w:val="28"/>
                <w:szCs w:val="28"/>
                <w:highlight w:val="none"/>
              </w:rPr>
              <w:t>1.执照编号   2.</w:t>
            </w:r>
            <w:r>
              <w:rPr>
                <w:rFonts w:hint="eastAsia" w:ascii="宋体" w:hAnsi="宋体"/>
                <w:bCs/>
                <w:color w:val="auto"/>
                <w:sz w:val="28"/>
                <w:szCs w:val="28"/>
                <w:highlight w:val="none"/>
              </w:rPr>
              <w:t>资质等级</w:t>
            </w:r>
            <w:r>
              <w:rPr>
                <w:rFonts w:hint="eastAsia" w:ascii="宋体" w:hAnsi="宋体" w:cs="Arial"/>
                <w:bCs/>
                <w:color w:val="auto"/>
                <w:sz w:val="28"/>
                <w:szCs w:val="28"/>
                <w:highlight w:val="none"/>
              </w:rPr>
              <w:t xml:space="preserve">   3.</w:t>
            </w:r>
            <w:r>
              <w:rPr>
                <w:rFonts w:hint="eastAsia" w:ascii="宋体" w:hAnsi="宋体"/>
                <w:bCs/>
                <w:color w:val="auto"/>
                <w:sz w:val="28"/>
                <w:szCs w:val="28"/>
                <w:highlight w:val="none"/>
              </w:rPr>
              <w:t>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bCs/>
                <w:color w:val="auto"/>
                <w:sz w:val="28"/>
                <w:szCs w:val="28"/>
                <w:highlight w:val="none"/>
              </w:rPr>
            </w:pPr>
            <w:r>
              <w:rPr>
                <w:rFonts w:hint="eastAsia" w:ascii="宋体" w:hAnsi="宋体"/>
                <w:bCs/>
                <w:color w:val="auto"/>
                <w:sz w:val="28"/>
                <w:szCs w:val="28"/>
                <w:highlight w:val="none"/>
              </w:rPr>
              <w:t>单位注册地址</w:t>
            </w:r>
          </w:p>
        </w:tc>
        <w:tc>
          <w:tcPr>
            <w:tcW w:w="2474" w:type="dxa"/>
            <w:gridSpan w:val="2"/>
            <w:noWrap/>
            <w:vAlign w:val="center"/>
          </w:tcPr>
          <w:p>
            <w:pPr>
              <w:spacing w:line="440" w:lineRule="exact"/>
              <w:jc w:val="center"/>
              <w:rPr>
                <w:rFonts w:ascii="宋体" w:hAnsi="宋体"/>
                <w:bCs/>
                <w:color w:val="auto"/>
                <w:sz w:val="28"/>
                <w:szCs w:val="28"/>
                <w:highlight w:val="none"/>
              </w:rPr>
            </w:pPr>
          </w:p>
        </w:tc>
        <w:tc>
          <w:tcPr>
            <w:tcW w:w="1579" w:type="dxa"/>
            <w:gridSpan w:val="2"/>
            <w:noWrap/>
            <w:vAlign w:val="center"/>
          </w:tcPr>
          <w:p>
            <w:pPr>
              <w:spacing w:line="440" w:lineRule="exact"/>
              <w:jc w:val="center"/>
              <w:rPr>
                <w:rFonts w:ascii="宋体" w:hAnsi="宋体"/>
                <w:bCs/>
                <w:color w:val="auto"/>
                <w:sz w:val="28"/>
                <w:szCs w:val="28"/>
                <w:highlight w:val="none"/>
              </w:rPr>
            </w:pPr>
            <w:r>
              <w:rPr>
                <w:rFonts w:hint="eastAsia" w:ascii="宋体" w:hAnsi="宋体"/>
                <w:bCs/>
                <w:color w:val="auto"/>
                <w:sz w:val="28"/>
                <w:szCs w:val="28"/>
                <w:highlight w:val="none"/>
              </w:rPr>
              <w:t>单位联系人、联系方式</w:t>
            </w:r>
          </w:p>
        </w:tc>
        <w:tc>
          <w:tcPr>
            <w:tcW w:w="2968" w:type="dxa"/>
            <w:gridSpan w:val="3"/>
            <w:noWrap/>
            <w:vAlign w:val="center"/>
          </w:tcPr>
          <w:p>
            <w:pPr>
              <w:spacing w:line="440" w:lineRule="exact"/>
              <w:jc w:val="center"/>
              <w:rPr>
                <w:rFonts w:ascii="宋体" w:hAnsi="宋体"/>
                <w:bCs/>
                <w:color w:val="auto"/>
                <w:sz w:val="28"/>
                <w:szCs w:val="28"/>
                <w:highlight w:val="none"/>
              </w:rPr>
            </w:pPr>
            <w:r>
              <w:rPr>
                <w:rFonts w:hint="eastAsia" w:ascii="宋体" w:hAnsi="宋体"/>
                <w:bCs/>
                <w:color w:val="auto"/>
                <w:sz w:val="28"/>
                <w:szCs w:val="28"/>
                <w:highlight w:val="none"/>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cs="Arial"/>
                <w:bCs/>
                <w:color w:val="auto"/>
                <w:sz w:val="28"/>
                <w:szCs w:val="28"/>
                <w:highlight w:val="none"/>
              </w:rPr>
            </w:pPr>
            <w:r>
              <w:rPr>
                <w:rFonts w:hint="eastAsia" w:ascii="宋体" w:hAnsi="宋体" w:cs="Arial"/>
                <w:bCs/>
                <w:color w:val="auto"/>
                <w:sz w:val="28"/>
                <w:szCs w:val="28"/>
                <w:highlight w:val="none"/>
              </w:rPr>
              <w:t>单位成立时间</w:t>
            </w:r>
          </w:p>
        </w:tc>
        <w:tc>
          <w:tcPr>
            <w:tcW w:w="7021" w:type="dxa"/>
            <w:gridSpan w:val="7"/>
            <w:noWrap/>
            <w:vAlign w:val="center"/>
          </w:tcPr>
          <w:p>
            <w:pPr>
              <w:spacing w:line="440" w:lineRule="exact"/>
              <w:jc w:val="center"/>
              <w:rPr>
                <w:rFonts w:ascii="宋体" w:hAnsi="宋体"/>
                <w:bCs/>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bCs/>
                <w:color w:val="auto"/>
                <w:sz w:val="28"/>
                <w:szCs w:val="28"/>
                <w:highlight w:val="none"/>
              </w:rPr>
            </w:pPr>
            <w:r>
              <w:rPr>
                <w:rFonts w:hint="eastAsia" w:ascii="宋体" w:hAnsi="宋体"/>
                <w:bCs/>
                <w:color w:val="auto"/>
                <w:sz w:val="28"/>
                <w:szCs w:val="28"/>
                <w:highlight w:val="none"/>
              </w:rPr>
              <w:t>开户银行</w:t>
            </w:r>
          </w:p>
        </w:tc>
        <w:tc>
          <w:tcPr>
            <w:tcW w:w="7021" w:type="dxa"/>
            <w:gridSpan w:val="7"/>
            <w:noWrap/>
            <w:vAlign w:val="center"/>
          </w:tcPr>
          <w:p>
            <w:pPr>
              <w:spacing w:line="440" w:lineRule="exact"/>
              <w:jc w:val="center"/>
              <w:rPr>
                <w:rFonts w:ascii="宋体" w:hAnsi="宋体"/>
                <w:color w:val="auto"/>
                <w:sz w:val="28"/>
                <w:szCs w:val="28"/>
                <w:highlight w:val="none"/>
              </w:rPr>
            </w:pPr>
            <w:r>
              <w:rPr>
                <w:rFonts w:hint="eastAsia" w:ascii="宋体" w:hAnsi="宋体"/>
                <w:bCs/>
                <w:color w:val="auto"/>
                <w:sz w:val="28"/>
                <w:szCs w:val="28"/>
                <w:highlight w:val="none"/>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9000" w:type="dxa"/>
            <w:gridSpan w:val="9"/>
            <w:noWrap/>
            <w:vAlign w:val="center"/>
          </w:tcPr>
          <w:p>
            <w:pPr>
              <w:spacing w:line="440" w:lineRule="exact"/>
              <w:jc w:val="center"/>
              <w:rPr>
                <w:rFonts w:ascii="宋体" w:hAnsi="宋体"/>
                <w:color w:val="auto"/>
                <w:sz w:val="28"/>
                <w:szCs w:val="28"/>
                <w:highlight w:val="none"/>
              </w:rPr>
            </w:pPr>
            <w:r>
              <w:rPr>
                <w:rFonts w:hint="eastAsia" w:ascii="宋体" w:hAnsi="宋体"/>
                <w:color w:val="auto"/>
                <w:sz w:val="28"/>
                <w:szCs w:val="28"/>
                <w:highlight w:val="none"/>
              </w:rPr>
              <w:t>驻临沂市固定经营场所或售后服务机构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ign w:val="center"/>
          </w:tcPr>
          <w:p>
            <w:pPr>
              <w:spacing w:line="440" w:lineRule="exact"/>
              <w:jc w:val="center"/>
              <w:rPr>
                <w:rFonts w:ascii="宋体" w:hAnsi="宋体"/>
                <w:bCs/>
                <w:color w:val="auto"/>
                <w:sz w:val="28"/>
                <w:szCs w:val="28"/>
                <w:highlight w:val="none"/>
              </w:rPr>
            </w:pPr>
            <w:r>
              <w:rPr>
                <w:rFonts w:hint="eastAsia" w:ascii="宋体" w:hAnsi="宋体"/>
                <w:bCs/>
                <w:color w:val="auto"/>
                <w:sz w:val="28"/>
                <w:szCs w:val="28"/>
                <w:highlight w:val="none"/>
              </w:rPr>
              <w:t>机构名称</w:t>
            </w:r>
          </w:p>
        </w:tc>
        <w:tc>
          <w:tcPr>
            <w:tcW w:w="1928" w:type="dxa"/>
            <w:gridSpan w:val="2"/>
            <w:noWrap/>
            <w:vAlign w:val="center"/>
          </w:tcPr>
          <w:p>
            <w:pPr>
              <w:spacing w:line="440" w:lineRule="exact"/>
              <w:jc w:val="center"/>
              <w:rPr>
                <w:rFonts w:ascii="宋体" w:hAnsi="宋体"/>
                <w:bCs/>
                <w:color w:val="auto"/>
                <w:sz w:val="28"/>
                <w:szCs w:val="28"/>
                <w:highlight w:val="none"/>
              </w:rPr>
            </w:pPr>
            <w:r>
              <w:rPr>
                <w:rFonts w:hint="eastAsia" w:ascii="宋体" w:hAnsi="宋体"/>
                <w:bCs/>
                <w:color w:val="auto"/>
                <w:sz w:val="28"/>
                <w:szCs w:val="28"/>
                <w:highlight w:val="none"/>
              </w:rPr>
              <w:t>注册地址</w:t>
            </w:r>
          </w:p>
        </w:tc>
        <w:tc>
          <w:tcPr>
            <w:tcW w:w="1930" w:type="dxa"/>
            <w:gridSpan w:val="2"/>
            <w:noWrap/>
            <w:vAlign w:val="center"/>
          </w:tcPr>
          <w:p>
            <w:pPr>
              <w:spacing w:line="440" w:lineRule="exact"/>
              <w:jc w:val="center"/>
              <w:rPr>
                <w:rFonts w:ascii="宋体" w:hAnsi="宋体"/>
                <w:bCs/>
                <w:color w:val="auto"/>
                <w:sz w:val="28"/>
                <w:szCs w:val="28"/>
                <w:highlight w:val="none"/>
              </w:rPr>
            </w:pPr>
            <w:r>
              <w:rPr>
                <w:rFonts w:hint="eastAsia" w:ascii="宋体" w:hAnsi="宋体"/>
                <w:bCs/>
                <w:color w:val="auto"/>
                <w:sz w:val="28"/>
                <w:szCs w:val="28"/>
                <w:highlight w:val="none"/>
              </w:rPr>
              <w:t>联系人</w:t>
            </w:r>
          </w:p>
        </w:tc>
        <w:tc>
          <w:tcPr>
            <w:tcW w:w="1402" w:type="dxa"/>
            <w:gridSpan w:val="3"/>
            <w:noWrap/>
            <w:vAlign w:val="center"/>
          </w:tcPr>
          <w:p>
            <w:pPr>
              <w:spacing w:line="440" w:lineRule="exact"/>
              <w:jc w:val="center"/>
              <w:rPr>
                <w:rFonts w:ascii="宋体" w:hAnsi="宋体"/>
                <w:bCs/>
                <w:color w:val="auto"/>
                <w:sz w:val="28"/>
                <w:szCs w:val="28"/>
                <w:highlight w:val="none"/>
              </w:rPr>
            </w:pPr>
            <w:r>
              <w:rPr>
                <w:rFonts w:hint="eastAsia" w:ascii="宋体" w:hAnsi="宋体"/>
                <w:bCs/>
                <w:color w:val="auto"/>
                <w:sz w:val="28"/>
                <w:szCs w:val="28"/>
                <w:highlight w:val="none"/>
              </w:rPr>
              <w:t>联络方式</w:t>
            </w:r>
          </w:p>
        </w:tc>
        <w:tc>
          <w:tcPr>
            <w:tcW w:w="1921" w:type="dxa"/>
            <w:noWrap/>
            <w:vAlign w:val="center"/>
          </w:tcPr>
          <w:p>
            <w:pPr>
              <w:spacing w:line="440" w:lineRule="exact"/>
              <w:jc w:val="center"/>
              <w:rPr>
                <w:rFonts w:ascii="宋体" w:hAnsi="宋体"/>
                <w:bCs/>
                <w:color w:val="auto"/>
                <w:sz w:val="28"/>
                <w:szCs w:val="28"/>
                <w:highlight w:val="none"/>
              </w:rPr>
            </w:pPr>
            <w:r>
              <w:rPr>
                <w:rFonts w:hint="eastAsia" w:ascii="宋体" w:hAnsi="宋体"/>
                <w:bCs/>
                <w:color w:val="auto"/>
                <w:sz w:val="28"/>
                <w:szCs w:val="28"/>
                <w:highlight w:val="none"/>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ign w:val="center"/>
          </w:tcPr>
          <w:p>
            <w:pPr>
              <w:spacing w:line="440" w:lineRule="exact"/>
              <w:jc w:val="center"/>
              <w:rPr>
                <w:rFonts w:ascii="宋体" w:hAnsi="宋体"/>
                <w:color w:val="auto"/>
                <w:sz w:val="28"/>
                <w:szCs w:val="28"/>
                <w:highlight w:val="none"/>
              </w:rPr>
            </w:pPr>
          </w:p>
        </w:tc>
        <w:tc>
          <w:tcPr>
            <w:tcW w:w="1928" w:type="dxa"/>
            <w:gridSpan w:val="2"/>
            <w:noWrap/>
            <w:vAlign w:val="center"/>
          </w:tcPr>
          <w:p>
            <w:pPr>
              <w:spacing w:line="440" w:lineRule="exact"/>
              <w:jc w:val="center"/>
              <w:rPr>
                <w:rFonts w:ascii="宋体" w:hAnsi="宋体"/>
                <w:color w:val="auto"/>
                <w:sz w:val="28"/>
                <w:szCs w:val="28"/>
                <w:highlight w:val="none"/>
              </w:rPr>
            </w:pPr>
          </w:p>
        </w:tc>
        <w:tc>
          <w:tcPr>
            <w:tcW w:w="1930" w:type="dxa"/>
            <w:gridSpan w:val="2"/>
            <w:noWrap/>
            <w:vAlign w:val="center"/>
          </w:tcPr>
          <w:p>
            <w:pPr>
              <w:spacing w:line="440" w:lineRule="exact"/>
              <w:jc w:val="center"/>
              <w:rPr>
                <w:rFonts w:ascii="宋体" w:hAnsi="宋体"/>
                <w:color w:val="auto"/>
                <w:sz w:val="28"/>
                <w:szCs w:val="28"/>
                <w:highlight w:val="none"/>
              </w:rPr>
            </w:pPr>
          </w:p>
        </w:tc>
        <w:tc>
          <w:tcPr>
            <w:tcW w:w="1402" w:type="dxa"/>
            <w:gridSpan w:val="3"/>
            <w:noWrap/>
            <w:vAlign w:val="center"/>
          </w:tcPr>
          <w:p>
            <w:pPr>
              <w:spacing w:line="440" w:lineRule="exact"/>
              <w:jc w:val="center"/>
              <w:rPr>
                <w:rFonts w:ascii="宋体" w:hAnsi="宋体"/>
                <w:color w:val="auto"/>
                <w:sz w:val="28"/>
                <w:szCs w:val="28"/>
                <w:highlight w:val="none"/>
              </w:rPr>
            </w:pPr>
          </w:p>
        </w:tc>
        <w:tc>
          <w:tcPr>
            <w:tcW w:w="1921" w:type="dxa"/>
            <w:noWrap/>
            <w:vAlign w:val="center"/>
          </w:tcPr>
          <w:p>
            <w:pPr>
              <w:spacing w:line="440" w:lineRule="exact"/>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ign w:val="center"/>
          </w:tcPr>
          <w:p>
            <w:pPr>
              <w:spacing w:line="440" w:lineRule="exact"/>
              <w:jc w:val="center"/>
              <w:rPr>
                <w:rFonts w:ascii="宋体" w:hAnsi="宋体"/>
                <w:color w:val="auto"/>
                <w:sz w:val="28"/>
                <w:szCs w:val="28"/>
                <w:highlight w:val="none"/>
              </w:rPr>
            </w:pPr>
          </w:p>
        </w:tc>
        <w:tc>
          <w:tcPr>
            <w:tcW w:w="1928" w:type="dxa"/>
            <w:gridSpan w:val="2"/>
            <w:noWrap/>
            <w:vAlign w:val="center"/>
          </w:tcPr>
          <w:p>
            <w:pPr>
              <w:spacing w:line="440" w:lineRule="exact"/>
              <w:jc w:val="center"/>
              <w:rPr>
                <w:rFonts w:ascii="宋体" w:hAnsi="宋体"/>
                <w:color w:val="auto"/>
                <w:sz w:val="28"/>
                <w:szCs w:val="28"/>
                <w:highlight w:val="none"/>
              </w:rPr>
            </w:pPr>
          </w:p>
        </w:tc>
        <w:tc>
          <w:tcPr>
            <w:tcW w:w="1930" w:type="dxa"/>
            <w:gridSpan w:val="2"/>
            <w:noWrap/>
            <w:vAlign w:val="center"/>
          </w:tcPr>
          <w:p>
            <w:pPr>
              <w:spacing w:line="440" w:lineRule="exact"/>
              <w:jc w:val="center"/>
              <w:rPr>
                <w:rFonts w:ascii="宋体" w:hAnsi="宋体"/>
                <w:color w:val="auto"/>
                <w:sz w:val="28"/>
                <w:szCs w:val="28"/>
                <w:highlight w:val="none"/>
              </w:rPr>
            </w:pPr>
          </w:p>
        </w:tc>
        <w:tc>
          <w:tcPr>
            <w:tcW w:w="1402" w:type="dxa"/>
            <w:gridSpan w:val="3"/>
            <w:noWrap/>
            <w:vAlign w:val="center"/>
          </w:tcPr>
          <w:p>
            <w:pPr>
              <w:spacing w:line="440" w:lineRule="exact"/>
              <w:jc w:val="center"/>
              <w:rPr>
                <w:rFonts w:ascii="宋体" w:hAnsi="宋体"/>
                <w:color w:val="auto"/>
                <w:sz w:val="28"/>
                <w:szCs w:val="28"/>
                <w:highlight w:val="none"/>
              </w:rPr>
            </w:pPr>
          </w:p>
        </w:tc>
        <w:tc>
          <w:tcPr>
            <w:tcW w:w="1921" w:type="dxa"/>
            <w:noWrap/>
            <w:vAlign w:val="center"/>
          </w:tcPr>
          <w:p>
            <w:pPr>
              <w:spacing w:line="440" w:lineRule="exact"/>
              <w:jc w:val="center"/>
              <w:rPr>
                <w:rFonts w:ascii="宋体" w:hAnsi="宋体"/>
                <w:color w:val="auto"/>
                <w:sz w:val="28"/>
                <w:szCs w:val="28"/>
                <w:highlight w:val="none"/>
              </w:rPr>
            </w:pPr>
          </w:p>
        </w:tc>
      </w:tr>
    </w:tbl>
    <w:p>
      <w:pPr>
        <w:spacing w:line="440" w:lineRule="exact"/>
        <w:rPr>
          <w:rFonts w:ascii="宋体" w:hAnsi="宋体"/>
          <w:color w:val="auto"/>
          <w:sz w:val="28"/>
          <w:szCs w:val="21"/>
          <w:highlight w:val="none"/>
        </w:rPr>
      </w:pPr>
    </w:p>
    <w:p>
      <w:pPr>
        <w:spacing w:line="440" w:lineRule="exact"/>
        <w:rPr>
          <w:rFonts w:ascii="宋体" w:hAnsi="宋体"/>
          <w:color w:val="auto"/>
          <w:sz w:val="28"/>
          <w:szCs w:val="21"/>
          <w:highlight w:val="none"/>
        </w:rPr>
      </w:pPr>
    </w:p>
    <w:p>
      <w:pPr>
        <w:spacing w:line="440" w:lineRule="exact"/>
        <w:ind w:firstLine="280" w:firstLineChars="100"/>
        <w:rPr>
          <w:rFonts w:ascii="宋体" w:hAnsi="宋体"/>
          <w:color w:val="auto"/>
          <w:sz w:val="28"/>
          <w:szCs w:val="21"/>
          <w:highlight w:val="none"/>
        </w:rPr>
      </w:pPr>
      <w:r>
        <w:rPr>
          <w:rFonts w:hint="eastAsia" w:ascii="宋体" w:hAnsi="宋体"/>
          <w:color w:val="auto"/>
          <w:sz w:val="28"/>
          <w:szCs w:val="21"/>
          <w:highlight w:val="none"/>
        </w:rPr>
        <w:t>供应商：（公章）</w:t>
      </w:r>
    </w:p>
    <w:p>
      <w:pPr>
        <w:spacing w:line="440" w:lineRule="exact"/>
        <w:ind w:firstLine="280" w:firstLineChars="100"/>
        <w:rPr>
          <w:rFonts w:ascii="宋体" w:hAnsi="宋体"/>
          <w:color w:val="auto"/>
          <w:sz w:val="28"/>
          <w:szCs w:val="21"/>
          <w:highlight w:val="none"/>
        </w:rPr>
      </w:pPr>
      <w:r>
        <w:rPr>
          <w:rFonts w:hint="eastAsia" w:ascii="宋体" w:hAnsi="宋体"/>
          <w:color w:val="auto"/>
          <w:sz w:val="28"/>
          <w:szCs w:val="21"/>
          <w:highlight w:val="none"/>
        </w:rPr>
        <w:t>法定代表人或供应商全权代表：（签字或印章）</w:t>
      </w:r>
    </w:p>
    <w:p>
      <w:pPr>
        <w:spacing w:line="440" w:lineRule="exact"/>
        <w:jc w:val="right"/>
        <w:rPr>
          <w:rFonts w:ascii="宋体" w:hAnsi="宋体"/>
          <w:color w:val="auto"/>
          <w:sz w:val="28"/>
          <w:szCs w:val="21"/>
          <w:highlight w:val="none"/>
        </w:rPr>
      </w:pPr>
      <w:r>
        <w:rPr>
          <w:rFonts w:hint="eastAsia" w:ascii="宋体" w:hAnsi="宋体"/>
          <w:color w:val="auto"/>
          <w:sz w:val="28"/>
          <w:szCs w:val="21"/>
          <w:highlight w:val="none"/>
        </w:rPr>
        <w:t xml:space="preserve">   年  月  日</w:t>
      </w:r>
    </w:p>
    <w:p>
      <w:pPr>
        <w:rPr>
          <w:rFonts w:ascii="宋体" w:hAnsi="宋体"/>
          <w:color w:val="auto"/>
          <w:sz w:val="28"/>
          <w:szCs w:val="21"/>
          <w:highlight w:val="none"/>
        </w:rPr>
      </w:pPr>
      <w:r>
        <w:rPr>
          <w:rFonts w:hint="eastAsia" w:ascii="宋体" w:hAnsi="宋体"/>
          <w:color w:val="auto"/>
          <w:sz w:val="28"/>
          <w:szCs w:val="21"/>
          <w:highlight w:val="none"/>
        </w:rPr>
        <w:br w:type="page"/>
      </w:r>
    </w:p>
    <w:p>
      <w:pPr>
        <w:topLinePunct/>
        <w:spacing w:line="480" w:lineRule="exact"/>
        <w:rPr>
          <w:rFonts w:ascii="宋体" w:hAnsi="宋体"/>
          <w:color w:val="auto"/>
          <w:sz w:val="28"/>
          <w:szCs w:val="21"/>
          <w:highlight w:val="none"/>
        </w:rPr>
      </w:pPr>
      <w:r>
        <w:rPr>
          <w:rFonts w:hint="eastAsia" w:ascii="宋体" w:hAnsi="宋体"/>
          <w:color w:val="auto"/>
          <w:sz w:val="28"/>
          <w:szCs w:val="21"/>
          <w:highlight w:val="none"/>
        </w:rPr>
        <w:t xml:space="preserve">附件七：  </w:t>
      </w:r>
    </w:p>
    <w:p>
      <w:pPr>
        <w:tabs>
          <w:tab w:val="left" w:pos="900"/>
        </w:tabs>
        <w:spacing w:line="480" w:lineRule="exact"/>
        <w:ind w:firstLine="1606" w:firstLineChars="500"/>
        <w:rPr>
          <w:rFonts w:ascii="宋体" w:hAnsi="宋体"/>
          <w:b/>
          <w:color w:val="auto"/>
          <w:sz w:val="32"/>
          <w:szCs w:val="32"/>
          <w:highlight w:val="none"/>
        </w:rPr>
      </w:pPr>
      <w:r>
        <w:rPr>
          <w:rFonts w:hint="eastAsia" w:ascii="宋体" w:hAnsi="宋体"/>
          <w:b/>
          <w:color w:val="auto"/>
          <w:sz w:val="32"/>
          <w:szCs w:val="32"/>
          <w:highlight w:val="none"/>
        </w:rPr>
        <w:t>供应商本项目管理、技术、服务人员情况表</w:t>
      </w:r>
    </w:p>
    <w:p>
      <w:pPr>
        <w:tabs>
          <w:tab w:val="left" w:pos="900"/>
        </w:tabs>
        <w:spacing w:line="480" w:lineRule="exact"/>
        <w:rPr>
          <w:rFonts w:ascii="宋体" w:hAnsi="宋体"/>
          <w:b/>
          <w:color w:val="auto"/>
          <w:sz w:val="32"/>
          <w:szCs w:val="32"/>
          <w:highlight w:val="none"/>
        </w:rPr>
      </w:pPr>
    </w:p>
    <w:tbl>
      <w:tblPr>
        <w:tblStyle w:val="17"/>
        <w:tblW w:w="0" w:type="auto"/>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81"/>
        <w:gridCol w:w="1114"/>
        <w:gridCol w:w="885"/>
        <w:gridCol w:w="1361"/>
        <w:gridCol w:w="1361"/>
        <w:gridCol w:w="756"/>
        <w:gridCol w:w="881"/>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1" w:type="dxa"/>
            <w:vMerge w:val="restart"/>
            <w:noWrap/>
            <w:vAlign w:val="center"/>
          </w:tcPr>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类别</w:t>
            </w:r>
          </w:p>
        </w:tc>
        <w:tc>
          <w:tcPr>
            <w:tcW w:w="881" w:type="dxa"/>
            <w:vMerge w:val="restart"/>
            <w:noWrap/>
            <w:vAlign w:val="center"/>
          </w:tcPr>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职务</w:t>
            </w:r>
          </w:p>
        </w:tc>
        <w:tc>
          <w:tcPr>
            <w:tcW w:w="1114" w:type="dxa"/>
            <w:vMerge w:val="restart"/>
            <w:noWrap/>
            <w:vAlign w:val="center"/>
          </w:tcPr>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姓名</w:t>
            </w:r>
          </w:p>
        </w:tc>
        <w:tc>
          <w:tcPr>
            <w:tcW w:w="885" w:type="dxa"/>
            <w:vMerge w:val="restart"/>
            <w:noWrap/>
            <w:vAlign w:val="center"/>
          </w:tcPr>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职称</w:t>
            </w:r>
          </w:p>
        </w:tc>
        <w:tc>
          <w:tcPr>
            <w:tcW w:w="1361" w:type="dxa"/>
            <w:vMerge w:val="restart"/>
            <w:noWrap/>
            <w:vAlign w:val="center"/>
          </w:tcPr>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常住地址</w:t>
            </w:r>
          </w:p>
        </w:tc>
        <w:tc>
          <w:tcPr>
            <w:tcW w:w="3879" w:type="dxa"/>
            <w:gridSpan w:val="4"/>
            <w:noWrap/>
            <w:vAlign w:val="center"/>
          </w:tcPr>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81" w:type="dxa"/>
            <w:vMerge w:val="continue"/>
            <w:noWrap/>
            <w:vAlign w:val="center"/>
          </w:tcPr>
          <w:p>
            <w:pPr>
              <w:spacing w:line="480" w:lineRule="exact"/>
              <w:ind w:left="5"/>
              <w:jc w:val="center"/>
              <w:rPr>
                <w:rFonts w:ascii="宋体" w:hAnsi="宋体"/>
                <w:color w:val="auto"/>
                <w:sz w:val="28"/>
                <w:szCs w:val="32"/>
                <w:highlight w:val="none"/>
              </w:rPr>
            </w:pPr>
          </w:p>
        </w:tc>
        <w:tc>
          <w:tcPr>
            <w:tcW w:w="881" w:type="dxa"/>
            <w:vMerge w:val="continue"/>
            <w:noWrap/>
            <w:vAlign w:val="center"/>
          </w:tcPr>
          <w:p>
            <w:pPr>
              <w:spacing w:line="480" w:lineRule="exact"/>
              <w:ind w:left="5"/>
              <w:jc w:val="center"/>
              <w:rPr>
                <w:rFonts w:ascii="宋体" w:hAnsi="宋体"/>
                <w:color w:val="auto"/>
                <w:sz w:val="28"/>
                <w:szCs w:val="32"/>
                <w:highlight w:val="none"/>
              </w:rPr>
            </w:pPr>
          </w:p>
        </w:tc>
        <w:tc>
          <w:tcPr>
            <w:tcW w:w="1114" w:type="dxa"/>
            <w:vMerge w:val="continue"/>
            <w:noWrap/>
            <w:vAlign w:val="center"/>
          </w:tcPr>
          <w:p>
            <w:pPr>
              <w:spacing w:line="480" w:lineRule="exact"/>
              <w:ind w:left="5"/>
              <w:jc w:val="center"/>
              <w:rPr>
                <w:rFonts w:ascii="宋体" w:hAnsi="宋体"/>
                <w:color w:val="auto"/>
                <w:sz w:val="28"/>
                <w:szCs w:val="32"/>
                <w:highlight w:val="none"/>
              </w:rPr>
            </w:pPr>
          </w:p>
        </w:tc>
        <w:tc>
          <w:tcPr>
            <w:tcW w:w="885" w:type="dxa"/>
            <w:vMerge w:val="continue"/>
            <w:noWrap/>
            <w:vAlign w:val="center"/>
          </w:tcPr>
          <w:p>
            <w:pPr>
              <w:spacing w:line="480" w:lineRule="exact"/>
              <w:ind w:left="5"/>
              <w:jc w:val="center"/>
              <w:rPr>
                <w:rFonts w:ascii="宋体" w:hAnsi="宋体"/>
                <w:color w:val="auto"/>
                <w:sz w:val="28"/>
                <w:szCs w:val="32"/>
                <w:highlight w:val="none"/>
              </w:rPr>
            </w:pPr>
          </w:p>
        </w:tc>
        <w:tc>
          <w:tcPr>
            <w:tcW w:w="1361" w:type="dxa"/>
            <w:vMerge w:val="continue"/>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证书名称</w:t>
            </w:r>
          </w:p>
        </w:tc>
        <w:tc>
          <w:tcPr>
            <w:tcW w:w="756" w:type="dxa"/>
            <w:noWrap/>
            <w:vAlign w:val="center"/>
          </w:tcPr>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级别</w:t>
            </w:r>
          </w:p>
        </w:tc>
        <w:tc>
          <w:tcPr>
            <w:tcW w:w="881" w:type="dxa"/>
            <w:noWrap/>
            <w:vAlign w:val="center"/>
          </w:tcPr>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证号</w:t>
            </w:r>
          </w:p>
        </w:tc>
        <w:tc>
          <w:tcPr>
            <w:tcW w:w="881" w:type="dxa"/>
            <w:noWrap/>
            <w:vAlign w:val="center"/>
          </w:tcPr>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1" w:type="dxa"/>
            <w:vMerge w:val="restart"/>
            <w:noWrap/>
            <w:vAlign w:val="center"/>
          </w:tcPr>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管理</w:t>
            </w:r>
          </w:p>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人员</w:t>
            </w:r>
          </w:p>
        </w:tc>
        <w:tc>
          <w:tcPr>
            <w:tcW w:w="881" w:type="dxa"/>
            <w:noWrap/>
            <w:vAlign w:val="center"/>
          </w:tcPr>
          <w:p>
            <w:pPr>
              <w:spacing w:line="480" w:lineRule="exact"/>
              <w:ind w:left="5"/>
              <w:jc w:val="center"/>
              <w:rPr>
                <w:rFonts w:ascii="宋体" w:hAnsi="宋体"/>
                <w:color w:val="auto"/>
                <w:sz w:val="28"/>
                <w:szCs w:val="32"/>
                <w:highlight w:val="none"/>
              </w:rPr>
            </w:pPr>
          </w:p>
        </w:tc>
        <w:tc>
          <w:tcPr>
            <w:tcW w:w="1114" w:type="dxa"/>
            <w:noWrap/>
            <w:vAlign w:val="center"/>
          </w:tcPr>
          <w:p>
            <w:pPr>
              <w:spacing w:line="480" w:lineRule="exact"/>
              <w:ind w:left="5"/>
              <w:jc w:val="center"/>
              <w:rPr>
                <w:rFonts w:ascii="宋体" w:hAnsi="宋体"/>
                <w:color w:val="auto"/>
                <w:sz w:val="28"/>
                <w:szCs w:val="32"/>
                <w:highlight w:val="none"/>
              </w:rPr>
            </w:pPr>
          </w:p>
        </w:tc>
        <w:tc>
          <w:tcPr>
            <w:tcW w:w="885"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756"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1" w:type="dxa"/>
            <w:vMerge w:val="continue"/>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1114" w:type="dxa"/>
            <w:noWrap/>
            <w:vAlign w:val="center"/>
          </w:tcPr>
          <w:p>
            <w:pPr>
              <w:spacing w:line="480" w:lineRule="exact"/>
              <w:ind w:left="5"/>
              <w:jc w:val="center"/>
              <w:rPr>
                <w:rFonts w:ascii="宋体" w:hAnsi="宋体"/>
                <w:color w:val="auto"/>
                <w:sz w:val="28"/>
                <w:szCs w:val="32"/>
                <w:highlight w:val="none"/>
              </w:rPr>
            </w:pPr>
          </w:p>
        </w:tc>
        <w:tc>
          <w:tcPr>
            <w:tcW w:w="885"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756"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81" w:type="dxa"/>
            <w:vMerge w:val="continue"/>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1114" w:type="dxa"/>
            <w:noWrap/>
            <w:vAlign w:val="center"/>
          </w:tcPr>
          <w:p>
            <w:pPr>
              <w:spacing w:line="480" w:lineRule="exact"/>
              <w:ind w:left="5"/>
              <w:jc w:val="center"/>
              <w:rPr>
                <w:rFonts w:ascii="宋体" w:hAnsi="宋体"/>
                <w:color w:val="auto"/>
                <w:sz w:val="28"/>
                <w:szCs w:val="32"/>
                <w:highlight w:val="none"/>
              </w:rPr>
            </w:pPr>
          </w:p>
        </w:tc>
        <w:tc>
          <w:tcPr>
            <w:tcW w:w="885"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756"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81" w:type="dxa"/>
            <w:vMerge w:val="restart"/>
            <w:noWrap/>
            <w:vAlign w:val="center"/>
          </w:tcPr>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技术</w:t>
            </w:r>
          </w:p>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人员</w:t>
            </w:r>
          </w:p>
        </w:tc>
        <w:tc>
          <w:tcPr>
            <w:tcW w:w="881" w:type="dxa"/>
            <w:noWrap/>
            <w:vAlign w:val="center"/>
          </w:tcPr>
          <w:p>
            <w:pPr>
              <w:spacing w:line="480" w:lineRule="exact"/>
              <w:ind w:left="5"/>
              <w:jc w:val="center"/>
              <w:rPr>
                <w:rFonts w:ascii="宋体" w:hAnsi="宋体"/>
                <w:color w:val="auto"/>
                <w:sz w:val="28"/>
                <w:szCs w:val="32"/>
                <w:highlight w:val="none"/>
              </w:rPr>
            </w:pPr>
          </w:p>
        </w:tc>
        <w:tc>
          <w:tcPr>
            <w:tcW w:w="1114" w:type="dxa"/>
            <w:noWrap/>
            <w:vAlign w:val="center"/>
          </w:tcPr>
          <w:p>
            <w:pPr>
              <w:spacing w:line="480" w:lineRule="exact"/>
              <w:ind w:left="5"/>
              <w:jc w:val="center"/>
              <w:rPr>
                <w:rFonts w:ascii="宋体" w:hAnsi="宋体"/>
                <w:color w:val="auto"/>
                <w:sz w:val="28"/>
                <w:szCs w:val="32"/>
                <w:highlight w:val="none"/>
              </w:rPr>
            </w:pPr>
          </w:p>
        </w:tc>
        <w:tc>
          <w:tcPr>
            <w:tcW w:w="885"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756"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81" w:type="dxa"/>
            <w:vMerge w:val="continue"/>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1114" w:type="dxa"/>
            <w:noWrap/>
            <w:vAlign w:val="center"/>
          </w:tcPr>
          <w:p>
            <w:pPr>
              <w:spacing w:line="480" w:lineRule="exact"/>
              <w:ind w:left="5"/>
              <w:jc w:val="center"/>
              <w:rPr>
                <w:rFonts w:ascii="宋体" w:hAnsi="宋体"/>
                <w:color w:val="auto"/>
                <w:sz w:val="28"/>
                <w:szCs w:val="32"/>
                <w:highlight w:val="none"/>
              </w:rPr>
            </w:pPr>
          </w:p>
        </w:tc>
        <w:tc>
          <w:tcPr>
            <w:tcW w:w="885"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756"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81" w:type="dxa"/>
            <w:vMerge w:val="continue"/>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1114" w:type="dxa"/>
            <w:noWrap/>
            <w:vAlign w:val="center"/>
          </w:tcPr>
          <w:p>
            <w:pPr>
              <w:spacing w:line="480" w:lineRule="exact"/>
              <w:ind w:left="5"/>
              <w:jc w:val="center"/>
              <w:rPr>
                <w:rFonts w:ascii="宋体" w:hAnsi="宋体"/>
                <w:color w:val="auto"/>
                <w:sz w:val="28"/>
                <w:szCs w:val="32"/>
                <w:highlight w:val="none"/>
              </w:rPr>
            </w:pPr>
          </w:p>
        </w:tc>
        <w:tc>
          <w:tcPr>
            <w:tcW w:w="885"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756"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1" w:type="dxa"/>
            <w:vMerge w:val="restart"/>
            <w:noWrap/>
            <w:vAlign w:val="center"/>
          </w:tcPr>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服务</w:t>
            </w:r>
          </w:p>
          <w:p>
            <w:pPr>
              <w:spacing w:line="480" w:lineRule="exact"/>
              <w:ind w:left="5"/>
              <w:jc w:val="center"/>
              <w:rPr>
                <w:rFonts w:ascii="宋体" w:hAnsi="宋体"/>
                <w:color w:val="auto"/>
                <w:sz w:val="28"/>
                <w:szCs w:val="32"/>
                <w:highlight w:val="none"/>
              </w:rPr>
            </w:pPr>
            <w:r>
              <w:rPr>
                <w:rFonts w:hint="eastAsia" w:ascii="宋体" w:hAnsi="宋体"/>
                <w:color w:val="auto"/>
                <w:sz w:val="28"/>
                <w:szCs w:val="32"/>
                <w:highlight w:val="none"/>
              </w:rPr>
              <w:t>人员</w:t>
            </w:r>
          </w:p>
        </w:tc>
        <w:tc>
          <w:tcPr>
            <w:tcW w:w="881" w:type="dxa"/>
            <w:noWrap/>
            <w:vAlign w:val="center"/>
          </w:tcPr>
          <w:p>
            <w:pPr>
              <w:spacing w:line="480" w:lineRule="exact"/>
              <w:ind w:left="5"/>
              <w:jc w:val="center"/>
              <w:rPr>
                <w:rFonts w:ascii="宋体" w:hAnsi="宋体"/>
                <w:color w:val="auto"/>
                <w:sz w:val="28"/>
                <w:szCs w:val="32"/>
                <w:highlight w:val="none"/>
              </w:rPr>
            </w:pPr>
          </w:p>
        </w:tc>
        <w:tc>
          <w:tcPr>
            <w:tcW w:w="1114" w:type="dxa"/>
            <w:noWrap/>
            <w:vAlign w:val="center"/>
          </w:tcPr>
          <w:p>
            <w:pPr>
              <w:spacing w:line="480" w:lineRule="exact"/>
              <w:ind w:left="5"/>
              <w:jc w:val="center"/>
              <w:rPr>
                <w:rFonts w:ascii="宋体" w:hAnsi="宋体"/>
                <w:color w:val="auto"/>
                <w:sz w:val="28"/>
                <w:szCs w:val="32"/>
                <w:highlight w:val="none"/>
              </w:rPr>
            </w:pPr>
          </w:p>
        </w:tc>
        <w:tc>
          <w:tcPr>
            <w:tcW w:w="885"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756"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1" w:type="dxa"/>
            <w:vMerge w:val="continue"/>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1114" w:type="dxa"/>
            <w:noWrap/>
            <w:vAlign w:val="center"/>
          </w:tcPr>
          <w:p>
            <w:pPr>
              <w:spacing w:line="480" w:lineRule="exact"/>
              <w:ind w:left="5"/>
              <w:jc w:val="center"/>
              <w:rPr>
                <w:rFonts w:ascii="宋体" w:hAnsi="宋体"/>
                <w:color w:val="auto"/>
                <w:sz w:val="28"/>
                <w:szCs w:val="32"/>
                <w:highlight w:val="none"/>
              </w:rPr>
            </w:pPr>
          </w:p>
        </w:tc>
        <w:tc>
          <w:tcPr>
            <w:tcW w:w="885"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756"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81" w:type="dxa"/>
            <w:vMerge w:val="continue"/>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1114" w:type="dxa"/>
            <w:noWrap/>
            <w:vAlign w:val="center"/>
          </w:tcPr>
          <w:p>
            <w:pPr>
              <w:spacing w:line="480" w:lineRule="exact"/>
              <w:ind w:left="5"/>
              <w:jc w:val="center"/>
              <w:rPr>
                <w:rFonts w:ascii="宋体" w:hAnsi="宋体"/>
                <w:color w:val="auto"/>
                <w:sz w:val="28"/>
                <w:szCs w:val="32"/>
                <w:highlight w:val="none"/>
              </w:rPr>
            </w:pPr>
          </w:p>
        </w:tc>
        <w:tc>
          <w:tcPr>
            <w:tcW w:w="885"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1361" w:type="dxa"/>
            <w:noWrap/>
            <w:vAlign w:val="center"/>
          </w:tcPr>
          <w:p>
            <w:pPr>
              <w:spacing w:line="480" w:lineRule="exact"/>
              <w:ind w:left="5"/>
              <w:jc w:val="center"/>
              <w:rPr>
                <w:rFonts w:ascii="宋体" w:hAnsi="宋体"/>
                <w:color w:val="auto"/>
                <w:sz w:val="28"/>
                <w:szCs w:val="32"/>
                <w:highlight w:val="none"/>
              </w:rPr>
            </w:pPr>
          </w:p>
        </w:tc>
        <w:tc>
          <w:tcPr>
            <w:tcW w:w="756"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c>
          <w:tcPr>
            <w:tcW w:w="881" w:type="dxa"/>
            <w:noWrap/>
            <w:vAlign w:val="center"/>
          </w:tcPr>
          <w:p>
            <w:pPr>
              <w:spacing w:line="480" w:lineRule="exact"/>
              <w:ind w:left="5"/>
              <w:jc w:val="center"/>
              <w:rPr>
                <w:rFonts w:ascii="宋体" w:hAnsi="宋体"/>
                <w:color w:val="auto"/>
                <w:sz w:val="28"/>
                <w:szCs w:val="32"/>
                <w:highlight w:val="none"/>
              </w:rPr>
            </w:pPr>
          </w:p>
        </w:tc>
      </w:tr>
    </w:tbl>
    <w:p>
      <w:pPr>
        <w:spacing w:line="480" w:lineRule="exact"/>
        <w:ind w:left="5"/>
        <w:rPr>
          <w:rFonts w:ascii="宋体" w:hAnsi="宋体"/>
          <w:color w:val="auto"/>
          <w:sz w:val="28"/>
          <w:szCs w:val="21"/>
          <w:highlight w:val="none"/>
        </w:rPr>
      </w:pPr>
    </w:p>
    <w:p>
      <w:pPr>
        <w:spacing w:line="480" w:lineRule="exact"/>
        <w:ind w:left="5"/>
        <w:rPr>
          <w:rFonts w:ascii="宋体" w:hAnsi="宋体"/>
          <w:color w:val="auto"/>
          <w:sz w:val="28"/>
          <w:szCs w:val="21"/>
          <w:highlight w:val="none"/>
        </w:rPr>
      </w:pPr>
    </w:p>
    <w:p>
      <w:pPr>
        <w:spacing w:line="480" w:lineRule="exact"/>
        <w:rPr>
          <w:rFonts w:ascii="宋体" w:hAnsi="宋体"/>
          <w:color w:val="auto"/>
          <w:sz w:val="28"/>
          <w:szCs w:val="21"/>
          <w:highlight w:val="none"/>
        </w:rPr>
      </w:pPr>
      <w:r>
        <w:rPr>
          <w:rFonts w:hint="eastAsia" w:ascii="宋体" w:hAnsi="宋体"/>
          <w:color w:val="auto"/>
          <w:sz w:val="28"/>
          <w:szCs w:val="21"/>
          <w:highlight w:val="none"/>
        </w:rPr>
        <w:t>供应商：（公章）</w:t>
      </w:r>
    </w:p>
    <w:p>
      <w:pPr>
        <w:tabs>
          <w:tab w:val="left" w:pos="180"/>
          <w:tab w:val="left" w:pos="1800"/>
        </w:tabs>
        <w:spacing w:line="480" w:lineRule="exact"/>
        <w:rPr>
          <w:rFonts w:ascii="宋体" w:hAnsi="宋体"/>
          <w:color w:val="auto"/>
          <w:sz w:val="28"/>
          <w:szCs w:val="21"/>
          <w:highlight w:val="none"/>
        </w:rPr>
      </w:pPr>
      <w:r>
        <w:rPr>
          <w:rFonts w:hint="eastAsia" w:ascii="宋体" w:hAnsi="宋体"/>
          <w:color w:val="auto"/>
          <w:sz w:val="28"/>
          <w:szCs w:val="21"/>
          <w:highlight w:val="none"/>
        </w:rPr>
        <w:t>法定代表人或供应商全权代表：（签字或印章）</w:t>
      </w: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pStyle w:val="12"/>
        <w:ind w:firstLine="7562" w:firstLineChars="2701"/>
        <w:rPr>
          <w:rFonts w:ascii="宋体" w:hAnsi="宋体"/>
          <w:b w:val="0"/>
          <w:bCs/>
          <w:color w:val="auto"/>
          <w:sz w:val="28"/>
          <w:szCs w:val="21"/>
          <w:highlight w:val="none"/>
        </w:rPr>
      </w:pPr>
      <w:r>
        <w:rPr>
          <w:rFonts w:hint="eastAsia" w:ascii="宋体" w:hAnsi="宋体"/>
          <w:b w:val="0"/>
          <w:bCs/>
          <w:color w:val="auto"/>
          <w:sz w:val="28"/>
          <w:szCs w:val="21"/>
          <w:highlight w:val="none"/>
        </w:rPr>
        <w:t>年  月  日</w:t>
      </w:r>
    </w:p>
    <w:p>
      <w:pPr>
        <w:rPr>
          <w:rFonts w:ascii="宋体" w:hAnsi="宋体"/>
          <w:bCs/>
          <w:color w:val="auto"/>
          <w:sz w:val="28"/>
          <w:szCs w:val="21"/>
          <w:highlight w:val="none"/>
        </w:rPr>
      </w:pPr>
    </w:p>
    <w:p>
      <w:pPr>
        <w:pStyle w:val="12"/>
        <w:rPr>
          <w:color w:val="auto"/>
          <w:highlight w:val="none"/>
        </w:rPr>
      </w:pPr>
    </w:p>
    <w:p>
      <w:pPr>
        <w:pStyle w:val="12"/>
        <w:ind w:firstLine="0"/>
        <w:rPr>
          <w:rFonts w:ascii="宋体" w:hAnsi="宋体"/>
          <w:b w:val="0"/>
          <w:bCs/>
          <w:color w:val="auto"/>
          <w:sz w:val="28"/>
          <w:szCs w:val="21"/>
          <w:highlight w:val="none"/>
        </w:rPr>
      </w:pPr>
      <w:r>
        <w:rPr>
          <w:rFonts w:hint="eastAsia" w:ascii="宋体" w:hAnsi="宋体"/>
          <w:b w:val="0"/>
          <w:bCs/>
          <w:color w:val="auto"/>
          <w:sz w:val="28"/>
          <w:szCs w:val="21"/>
          <w:highlight w:val="none"/>
        </w:rPr>
        <w:t>附件八：</w:t>
      </w:r>
    </w:p>
    <w:p>
      <w:pPr>
        <w:rPr>
          <w:color w:val="auto"/>
          <w:highlight w:val="none"/>
        </w:rPr>
      </w:pPr>
    </w:p>
    <w:p>
      <w:pPr>
        <w:spacing w:line="480" w:lineRule="exact"/>
        <w:jc w:val="center"/>
        <w:rPr>
          <w:rFonts w:ascii="宋体" w:hAnsi="宋体"/>
          <w:b/>
          <w:color w:val="auto"/>
          <w:sz w:val="36"/>
          <w:szCs w:val="36"/>
          <w:highlight w:val="none"/>
        </w:rPr>
      </w:pPr>
      <w:r>
        <w:rPr>
          <w:rFonts w:hint="eastAsia" w:ascii="宋体" w:hAnsi="宋体"/>
          <w:b/>
          <w:color w:val="auto"/>
          <w:sz w:val="36"/>
          <w:szCs w:val="36"/>
          <w:highlight w:val="none"/>
        </w:rPr>
        <w:t>商务条款偏离表</w:t>
      </w:r>
    </w:p>
    <w:p>
      <w:pPr>
        <w:spacing w:line="480" w:lineRule="exact"/>
        <w:jc w:val="center"/>
        <w:rPr>
          <w:rFonts w:ascii="宋体" w:hAnsi="宋体"/>
          <w:b/>
          <w:color w:val="auto"/>
          <w:sz w:val="40"/>
          <w:szCs w:val="40"/>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0"/>
        <w:gridCol w:w="2444"/>
        <w:gridCol w:w="1241"/>
        <w:gridCol w:w="234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restart"/>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序号</w:t>
            </w:r>
          </w:p>
        </w:tc>
        <w:tc>
          <w:tcPr>
            <w:tcW w:w="3624" w:type="dxa"/>
            <w:gridSpan w:val="2"/>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磋商文件</w:t>
            </w:r>
          </w:p>
        </w:tc>
        <w:tc>
          <w:tcPr>
            <w:tcW w:w="3582" w:type="dxa"/>
            <w:gridSpan w:val="2"/>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响应文件</w:t>
            </w:r>
          </w:p>
        </w:tc>
        <w:tc>
          <w:tcPr>
            <w:tcW w:w="981" w:type="dxa"/>
            <w:vMerge w:val="restart"/>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continue"/>
            <w:noWrap/>
            <w:vAlign w:val="center"/>
          </w:tcPr>
          <w:p>
            <w:pPr>
              <w:spacing w:line="480" w:lineRule="exact"/>
              <w:jc w:val="center"/>
              <w:rPr>
                <w:rFonts w:ascii="宋体" w:hAnsi="宋体"/>
                <w:color w:val="auto"/>
                <w:sz w:val="28"/>
                <w:szCs w:val="28"/>
                <w:highlight w:val="none"/>
              </w:rPr>
            </w:pPr>
          </w:p>
        </w:tc>
        <w:tc>
          <w:tcPr>
            <w:tcW w:w="1180" w:type="dxa"/>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条款号</w:t>
            </w:r>
          </w:p>
        </w:tc>
        <w:tc>
          <w:tcPr>
            <w:tcW w:w="2444" w:type="dxa"/>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条款内容</w:t>
            </w:r>
          </w:p>
        </w:tc>
        <w:tc>
          <w:tcPr>
            <w:tcW w:w="1241" w:type="dxa"/>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条款号</w:t>
            </w:r>
          </w:p>
        </w:tc>
        <w:tc>
          <w:tcPr>
            <w:tcW w:w="2341" w:type="dxa"/>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条款内容</w:t>
            </w:r>
          </w:p>
        </w:tc>
        <w:tc>
          <w:tcPr>
            <w:tcW w:w="981" w:type="dxa"/>
            <w:vMerge w:val="continue"/>
            <w:noWrap/>
            <w:vAlign w:val="center"/>
          </w:tcPr>
          <w:p>
            <w:pPr>
              <w:spacing w:line="480" w:lineRule="exact"/>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8"/>
                <w:szCs w:val="28"/>
                <w:highlight w:val="none"/>
              </w:rPr>
            </w:pPr>
          </w:p>
        </w:tc>
        <w:tc>
          <w:tcPr>
            <w:tcW w:w="1180" w:type="dxa"/>
            <w:noWrap/>
            <w:vAlign w:val="center"/>
          </w:tcPr>
          <w:p>
            <w:pPr>
              <w:spacing w:line="480" w:lineRule="exact"/>
              <w:jc w:val="center"/>
              <w:rPr>
                <w:rFonts w:ascii="宋体" w:hAnsi="宋体"/>
                <w:color w:val="auto"/>
                <w:sz w:val="28"/>
                <w:szCs w:val="28"/>
                <w:highlight w:val="none"/>
              </w:rPr>
            </w:pPr>
          </w:p>
        </w:tc>
        <w:tc>
          <w:tcPr>
            <w:tcW w:w="2444" w:type="dxa"/>
            <w:noWrap/>
            <w:vAlign w:val="center"/>
          </w:tcPr>
          <w:p>
            <w:pPr>
              <w:spacing w:line="480" w:lineRule="exact"/>
              <w:jc w:val="center"/>
              <w:rPr>
                <w:rFonts w:ascii="宋体" w:hAnsi="宋体"/>
                <w:color w:val="auto"/>
                <w:sz w:val="28"/>
                <w:szCs w:val="28"/>
                <w:highlight w:val="none"/>
              </w:rPr>
            </w:pPr>
          </w:p>
        </w:tc>
        <w:tc>
          <w:tcPr>
            <w:tcW w:w="1241" w:type="dxa"/>
            <w:noWrap/>
            <w:vAlign w:val="center"/>
          </w:tcPr>
          <w:p>
            <w:pPr>
              <w:spacing w:line="480" w:lineRule="exact"/>
              <w:jc w:val="center"/>
              <w:rPr>
                <w:rFonts w:ascii="宋体" w:hAnsi="宋体"/>
                <w:color w:val="auto"/>
                <w:sz w:val="28"/>
                <w:szCs w:val="28"/>
                <w:highlight w:val="none"/>
              </w:rPr>
            </w:pPr>
          </w:p>
        </w:tc>
        <w:tc>
          <w:tcPr>
            <w:tcW w:w="2341" w:type="dxa"/>
            <w:noWrap/>
            <w:vAlign w:val="center"/>
          </w:tcPr>
          <w:p>
            <w:pPr>
              <w:spacing w:line="480" w:lineRule="exact"/>
              <w:jc w:val="center"/>
              <w:rPr>
                <w:rFonts w:ascii="宋体" w:hAnsi="宋体"/>
                <w:color w:val="auto"/>
                <w:sz w:val="28"/>
                <w:szCs w:val="28"/>
                <w:highlight w:val="none"/>
              </w:rPr>
            </w:pPr>
          </w:p>
        </w:tc>
        <w:tc>
          <w:tcPr>
            <w:tcW w:w="981" w:type="dxa"/>
            <w:noWrap/>
            <w:vAlign w:val="center"/>
          </w:tcPr>
          <w:p>
            <w:pPr>
              <w:spacing w:line="480" w:lineRule="exact"/>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2"/>
                <w:szCs w:val="22"/>
                <w:highlight w:val="none"/>
              </w:rPr>
            </w:pPr>
          </w:p>
        </w:tc>
        <w:tc>
          <w:tcPr>
            <w:tcW w:w="1180" w:type="dxa"/>
            <w:noWrap/>
            <w:vAlign w:val="center"/>
          </w:tcPr>
          <w:p>
            <w:pPr>
              <w:spacing w:line="480" w:lineRule="exact"/>
              <w:jc w:val="center"/>
              <w:rPr>
                <w:rFonts w:ascii="宋体" w:hAnsi="宋体"/>
                <w:color w:val="auto"/>
                <w:sz w:val="22"/>
                <w:szCs w:val="22"/>
                <w:highlight w:val="none"/>
              </w:rPr>
            </w:pPr>
          </w:p>
        </w:tc>
        <w:tc>
          <w:tcPr>
            <w:tcW w:w="2444" w:type="dxa"/>
            <w:noWrap/>
            <w:vAlign w:val="center"/>
          </w:tcPr>
          <w:p>
            <w:pPr>
              <w:spacing w:line="480" w:lineRule="exact"/>
              <w:jc w:val="center"/>
              <w:rPr>
                <w:rFonts w:ascii="宋体" w:hAnsi="宋体"/>
                <w:color w:val="auto"/>
                <w:sz w:val="22"/>
                <w:szCs w:val="22"/>
                <w:highlight w:val="none"/>
              </w:rPr>
            </w:pPr>
          </w:p>
        </w:tc>
        <w:tc>
          <w:tcPr>
            <w:tcW w:w="1241" w:type="dxa"/>
            <w:noWrap/>
            <w:vAlign w:val="center"/>
          </w:tcPr>
          <w:p>
            <w:pPr>
              <w:spacing w:line="480" w:lineRule="exact"/>
              <w:jc w:val="center"/>
              <w:rPr>
                <w:rFonts w:ascii="宋体" w:hAnsi="宋体"/>
                <w:color w:val="auto"/>
                <w:sz w:val="22"/>
                <w:szCs w:val="22"/>
                <w:highlight w:val="none"/>
              </w:rPr>
            </w:pPr>
          </w:p>
        </w:tc>
        <w:tc>
          <w:tcPr>
            <w:tcW w:w="2341" w:type="dxa"/>
            <w:noWrap/>
            <w:vAlign w:val="center"/>
          </w:tcPr>
          <w:p>
            <w:pPr>
              <w:spacing w:line="480" w:lineRule="exact"/>
              <w:jc w:val="center"/>
              <w:rPr>
                <w:rFonts w:ascii="宋体" w:hAnsi="宋体"/>
                <w:color w:val="auto"/>
                <w:sz w:val="22"/>
                <w:szCs w:val="22"/>
                <w:highlight w:val="none"/>
              </w:rPr>
            </w:pPr>
          </w:p>
        </w:tc>
        <w:tc>
          <w:tcPr>
            <w:tcW w:w="981"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2"/>
                <w:szCs w:val="22"/>
                <w:highlight w:val="none"/>
              </w:rPr>
            </w:pPr>
          </w:p>
        </w:tc>
        <w:tc>
          <w:tcPr>
            <w:tcW w:w="1180" w:type="dxa"/>
            <w:noWrap/>
            <w:vAlign w:val="center"/>
          </w:tcPr>
          <w:p>
            <w:pPr>
              <w:spacing w:line="480" w:lineRule="exact"/>
              <w:jc w:val="center"/>
              <w:rPr>
                <w:rFonts w:ascii="宋体" w:hAnsi="宋体"/>
                <w:color w:val="auto"/>
                <w:sz w:val="22"/>
                <w:szCs w:val="22"/>
                <w:highlight w:val="none"/>
              </w:rPr>
            </w:pPr>
          </w:p>
        </w:tc>
        <w:tc>
          <w:tcPr>
            <w:tcW w:w="2444" w:type="dxa"/>
            <w:noWrap/>
            <w:vAlign w:val="center"/>
          </w:tcPr>
          <w:p>
            <w:pPr>
              <w:spacing w:line="480" w:lineRule="exact"/>
              <w:jc w:val="center"/>
              <w:rPr>
                <w:rFonts w:ascii="宋体" w:hAnsi="宋体"/>
                <w:color w:val="auto"/>
                <w:sz w:val="22"/>
                <w:szCs w:val="22"/>
                <w:highlight w:val="none"/>
              </w:rPr>
            </w:pPr>
          </w:p>
        </w:tc>
        <w:tc>
          <w:tcPr>
            <w:tcW w:w="1241" w:type="dxa"/>
            <w:noWrap/>
            <w:vAlign w:val="center"/>
          </w:tcPr>
          <w:p>
            <w:pPr>
              <w:spacing w:line="480" w:lineRule="exact"/>
              <w:jc w:val="center"/>
              <w:rPr>
                <w:rFonts w:ascii="宋体" w:hAnsi="宋体"/>
                <w:color w:val="auto"/>
                <w:sz w:val="22"/>
                <w:szCs w:val="22"/>
                <w:highlight w:val="none"/>
              </w:rPr>
            </w:pPr>
          </w:p>
        </w:tc>
        <w:tc>
          <w:tcPr>
            <w:tcW w:w="2341" w:type="dxa"/>
            <w:noWrap/>
            <w:vAlign w:val="center"/>
          </w:tcPr>
          <w:p>
            <w:pPr>
              <w:spacing w:line="480" w:lineRule="exact"/>
              <w:jc w:val="center"/>
              <w:rPr>
                <w:rFonts w:ascii="宋体" w:hAnsi="宋体"/>
                <w:color w:val="auto"/>
                <w:sz w:val="22"/>
                <w:szCs w:val="22"/>
                <w:highlight w:val="none"/>
              </w:rPr>
            </w:pPr>
          </w:p>
        </w:tc>
        <w:tc>
          <w:tcPr>
            <w:tcW w:w="981"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2"/>
                <w:szCs w:val="22"/>
                <w:highlight w:val="none"/>
              </w:rPr>
            </w:pPr>
          </w:p>
        </w:tc>
        <w:tc>
          <w:tcPr>
            <w:tcW w:w="1180" w:type="dxa"/>
            <w:noWrap/>
            <w:vAlign w:val="center"/>
          </w:tcPr>
          <w:p>
            <w:pPr>
              <w:spacing w:line="480" w:lineRule="exact"/>
              <w:jc w:val="center"/>
              <w:rPr>
                <w:rFonts w:ascii="宋体" w:hAnsi="宋体"/>
                <w:color w:val="auto"/>
                <w:sz w:val="22"/>
                <w:szCs w:val="22"/>
                <w:highlight w:val="none"/>
              </w:rPr>
            </w:pPr>
          </w:p>
        </w:tc>
        <w:tc>
          <w:tcPr>
            <w:tcW w:w="2444" w:type="dxa"/>
            <w:noWrap/>
            <w:vAlign w:val="center"/>
          </w:tcPr>
          <w:p>
            <w:pPr>
              <w:spacing w:line="480" w:lineRule="exact"/>
              <w:jc w:val="center"/>
              <w:rPr>
                <w:rFonts w:ascii="宋体" w:hAnsi="宋体"/>
                <w:color w:val="auto"/>
                <w:sz w:val="22"/>
                <w:szCs w:val="22"/>
                <w:highlight w:val="none"/>
              </w:rPr>
            </w:pPr>
          </w:p>
        </w:tc>
        <w:tc>
          <w:tcPr>
            <w:tcW w:w="1241" w:type="dxa"/>
            <w:noWrap/>
            <w:vAlign w:val="center"/>
          </w:tcPr>
          <w:p>
            <w:pPr>
              <w:spacing w:line="480" w:lineRule="exact"/>
              <w:jc w:val="center"/>
              <w:rPr>
                <w:rFonts w:ascii="宋体" w:hAnsi="宋体"/>
                <w:color w:val="auto"/>
                <w:sz w:val="22"/>
                <w:szCs w:val="22"/>
                <w:highlight w:val="none"/>
              </w:rPr>
            </w:pPr>
          </w:p>
        </w:tc>
        <w:tc>
          <w:tcPr>
            <w:tcW w:w="2341" w:type="dxa"/>
            <w:noWrap/>
            <w:vAlign w:val="center"/>
          </w:tcPr>
          <w:p>
            <w:pPr>
              <w:spacing w:line="480" w:lineRule="exact"/>
              <w:jc w:val="center"/>
              <w:rPr>
                <w:rFonts w:ascii="宋体" w:hAnsi="宋体"/>
                <w:color w:val="auto"/>
                <w:sz w:val="22"/>
                <w:szCs w:val="22"/>
                <w:highlight w:val="none"/>
              </w:rPr>
            </w:pPr>
          </w:p>
        </w:tc>
        <w:tc>
          <w:tcPr>
            <w:tcW w:w="981"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2"/>
                <w:szCs w:val="22"/>
                <w:highlight w:val="none"/>
              </w:rPr>
            </w:pPr>
          </w:p>
        </w:tc>
        <w:tc>
          <w:tcPr>
            <w:tcW w:w="1180" w:type="dxa"/>
            <w:noWrap/>
            <w:vAlign w:val="center"/>
          </w:tcPr>
          <w:p>
            <w:pPr>
              <w:spacing w:line="480" w:lineRule="exact"/>
              <w:jc w:val="center"/>
              <w:rPr>
                <w:rFonts w:ascii="宋体" w:hAnsi="宋体"/>
                <w:color w:val="auto"/>
                <w:sz w:val="22"/>
                <w:szCs w:val="22"/>
                <w:highlight w:val="none"/>
              </w:rPr>
            </w:pPr>
          </w:p>
        </w:tc>
        <w:tc>
          <w:tcPr>
            <w:tcW w:w="2444" w:type="dxa"/>
            <w:noWrap/>
            <w:vAlign w:val="center"/>
          </w:tcPr>
          <w:p>
            <w:pPr>
              <w:spacing w:line="480" w:lineRule="exact"/>
              <w:jc w:val="center"/>
              <w:rPr>
                <w:rFonts w:ascii="宋体" w:hAnsi="宋体"/>
                <w:color w:val="auto"/>
                <w:sz w:val="22"/>
                <w:szCs w:val="22"/>
                <w:highlight w:val="none"/>
              </w:rPr>
            </w:pPr>
          </w:p>
        </w:tc>
        <w:tc>
          <w:tcPr>
            <w:tcW w:w="1241" w:type="dxa"/>
            <w:noWrap/>
            <w:vAlign w:val="center"/>
          </w:tcPr>
          <w:p>
            <w:pPr>
              <w:spacing w:line="480" w:lineRule="exact"/>
              <w:jc w:val="center"/>
              <w:rPr>
                <w:rFonts w:ascii="宋体" w:hAnsi="宋体"/>
                <w:color w:val="auto"/>
                <w:sz w:val="22"/>
                <w:szCs w:val="22"/>
                <w:highlight w:val="none"/>
              </w:rPr>
            </w:pPr>
          </w:p>
        </w:tc>
        <w:tc>
          <w:tcPr>
            <w:tcW w:w="2341" w:type="dxa"/>
            <w:noWrap/>
            <w:vAlign w:val="center"/>
          </w:tcPr>
          <w:p>
            <w:pPr>
              <w:spacing w:line="480" w:lineRule="exact"/>
              <w:jc w:val="center"/>
              <w:rPr>
                <w:rFonts w:ascii="宋体" w:hAnsi="宋体"/>
                <w:color w:val="auto"/>
                <w:sz w:val="22"/>
                <w:szCs w:val="22"/>
                <w:highlight w:val="none"/>
              </w:rPr>
            </w:pPr>
          </w:p>
        </w:tc>
        <w:tc>
          <w:tcPr>
            <w:tcW w:w="981"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2"/>
                <w:szCs w:val="22"/>
                <w:highlight w:val="none"/>
              </w:rPr>
            </w:pPr>
          </w:p>
        </w:tc>
        <w:tc>
          <w:tcPr>
            <w:tcW w:w="1180" w:type="dxa"/>
            <w:noWrap/>
            <w:vAlign w:val="center"/>
          </w:tcPr>
          <w:p>
            <w:pPr>
              <w:spacing w:line="480" w:lineRule="exact"/>
              <w:jc w:val="center"/>
              <w:rPr>
                <w:rFonts w:ascii="宋体" w:hAnsi="宋体"/>
                <w:color w:val="auto"/>
                <w:sz w:val="22"/>
                <w:szCs w:val="22"/>
                <w:highlight w:val="none"/>
              </w:rPr>
            </w:pPr>
          </w:p>
        </w:tc>
        <w:tc>
          <w:tcPr>
            <w:tcW w:w="2444" w:type="dxa"/>
            <w:noWrap/>
            <w:vAlign w:val="center"/>
          </w:tcPr>
          <w:p>
            <w:pPr>
              <w:spacing w:line="480" w:lineRule="exact"/>
              <w:jc w:val="center"/>
              <w:rPr>
                <w:rFonts w:ascii="宋体" w:hAnsi="宋体"/>
                <w:color w:val="auto"/>
                <w:sz w:val="22"/>
                <w:szCs w:val="22"/>
                <w:highlight w:val="none"/>
              </w:rPr>
            </w:pPr>
          </w:p>
        </w:tc>
        <w:tc>
          <w:tcPr>
            <w:tcW w:w="1241" w:type="dxa"/>
            <w:noWrap/>
            <w:vAlign w:val="center"/>
          </w:tcPr>
          <w:p>
            <w:pPr>
              <w:spacing w:line="480" w:lineRule="exact"/>
              <w:jc w:val="center"/>
              <w:rPr>
                <w:rFonts w:ascii="宋体" w:hAnsi="宋体"/>
                <w:color w:val="auto"/>
                <w:sz w:val="22"/>
                <w:szCs w:val="22"/>
                <w:highlight w:val="none"/>
              </w:rPr>
            </w:pPr>
          </w:p>
        </w:tc>
        <w:tc>
          <w:tcPr>
            <w:tcW w:w="2341" w:type="dxa"/>
            <w:noWrap/>
            <w:vAlign w:val="center"/>
          </w:tcPr>
          <w:p>
            <w:pPr>
              <w:spacing w:line="480" w:lineRule="exact"/>
              <w:jc w:val="center"/>
              <w:rPr>
                <w:rFonts w:ascii="宋体" w:hAnsi="宋体"/>
                <w:color w:val="auto"/>
                <w:sz w:val="22"/>
                <w:szCs w:val="22"/>
                <w:highlight w:val="none"/>
              </w:rPr>
            </w:pPr>
          </w:p>
        </w:tc>
        <w:tc>
          <w:tcPr>
            <w:tcW w:w="981"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2"/>
                <w:szCs w:val="22"/>
                <w:highlight w:val="none"/>
              </w:rPr>
            </w:pPr>
          </w:p>
        </w:tc>
        <w:tc>
          <w:tcPr>
            <w:tcW w:w="1180" w:type="dxa"/>
            <w:noWrap/>
            <w:vAlign w:val="center"/>
          </w:tcPr>
          <w:p>
            <w:pPr>
              <w:spacing w:line="480" w:lineRule="exact"/>
              <w:jc w:val="center"/>
              <w:rPr>
                <w:rFonts w:ascii="宋体" w:hAnsi="宋体"/>
                <w:color w:val="auto"/>
                <w:sz w:val="22"/>
                <w:szCs w:val="22"/>
                <w:highlight w:val="none"/>
              </w:rPr>
            </w:pPr>
          </w:p>
        </w:tc>
        <w:tc>
          <w:tcPr>
            <w:tcW w:w="2444" w:type="dxa"/>
            <w:noWrap/>
            <w:vAlign w:val="center"/>
          </w:tcPr>
          <w:p>
            <w:pPr>
              <w:spacing w:line="480" w:lineRule="exact"/>
              <w:jc w:val="center"/>
              <w:rPr>
                <w:rFonts w:ascii="宋体" w:hAnsi="宋体"/>
                <w:color w:val="auto"/>
                <w:sz w:val="22"/>
                <w:szCs w:val="22"/>
                <w:highlight w:val="none"/>
              </w:rPr>
            </w:pPr>
          </w:p>
        </w:tc>
        <w:tc>
          <w:tcPr>
            <w:tcW w:w="1241" w:type="dxa"/>
            <w:noWrap/>
            <w:vAlign w:val="center"/>
          </w:tcPr>
          <w:p>
            <w:pPr>
              <w:spacing w:line="480" w:lineRule="exact"/>
              <w:jc w:val="center"/>
              <w:rPr>
                <w:rFonts w:ascii="宋体" w:hAnsi="宋体"/>
                <w:color w:val="auto"/>
                <w:sz w:val="22"/>
                <w:szCs w:val="22"/>
                <w:highlight w:val="none"/>
              </w:rPr>
            </w:pPr>
          </w:p>
        </w:tc>
        <w:tc>
          <w:tcPr>
            <w:tcW w:w="2341" w:type="dxa"/>
            <w:noWrap/>
            <w:vAlign w:val="center"/>
          </w:tcPr>
          <w:p>
            <w:pPr>
              <w:spacing w:line="480" w:lineRule="exact"/>
              <w:jc w:val="center"/>
              <w:rPr>
                <w:rFonts w:ascii="宋体" w:hAnsi="宋体"/>
                <w:color w:val="auto"/>
                <w:sz w:val="22"/>
                <w:szCs w:val="22"/>
                <w:highlight w:val="none"/>
              </w:rPr>
            </w:pPr>
          </w:p>
        </w:tc>
        <w:tc>
          <w:tcPr>
            <w:tcW w:w="981"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2"/>
                <w:szCs w:val="22"/>
                <w:highlight w:val="none"/>
              </w:rPr>
            </w:pPr>
          </w:p>
        </w:tc>
        <w:tc>
          <w:tcPr>
            <w:tcW w:w="1180" w:type="dxa"/>
            <w:noWrap/>
            <w:vAlign w:val="center"/>
          </w:tcPr>
          <w:p>
            <w:pPr>
              <w:spacing w:line="480" w:lineRule="exact"/>
              <w:jc w:val="center"/>
              <w:rPr>
                <w:rFonts w:ascii="宋体" w:hAnsi="宋体"/>
                <w:color w:val="auto"/>
                <w:sz w:val="22"/>
                <w:szCs w:val="22"/>
                <w:highlight w:val="none"/>
              </w:rPr>
            </w:pPr>
          </w:p>
        </w:tc>
        <w:tc>
          <w:tcPr>
            <w:tcW w:w="2444" w:type="dxa"/>
            <w:noWrap/>
            <w:vAlign w:val="center"/>
          </w:tcPr>
          <w:p>
            <w:pPr>
              <w:spacing w:line="480" w:lineRule="exact"/>
              <w:jc w:val="center"/>
              <w:rPr>
                <w:rFonts w:ascii="宋体" w:hAnsi="宋体"/>
                <w:color w:val="auto"/>
                <w:sz w:val="22"/>
                <w:szCs w:val="22"/>
                <w:highlight w:val="none"/>
              </w:rPr>
            </w:pPr>
          </w:p>
        </w:tc>
        <w:tc>
          <w:tcPr>
            <w:tcW w:w="1241" w:type="dxa"/>
            <w:noWrap/>
            <w:vAlign w:val="center"/>
          </w:tcPr>
          <w:p>
            <w:pPr>
              <w:spacing w:line="480" w:lineRule="exact"/>
              <w:jc w:val="center"/>
              <w:rPr>
                <w:rFonts w:ascii="宋体" w:hAnsi="宋体"/>
                <w:color w:val="auto"/>
                <w:sz w:val="22"/>
                <w:szCs w:val="22"/>
                <w:highlight w:val="none"/>
              </w:rPr>
            </w:pPr>
          </w:p>
        </w:tc>
        <w:tc>
          <w:tcPr>
            <w:tcW w:w="2341" w:type="dxa"/>
            <w:noWrap/>
            <w:vAlign w:val="center"/>
          </w:tcPr>
          <w:p>
            <w:pPr>
              <w:spacing w:line="480" w:lineRule="exact"/>
              <w:jc w:val="center"/>
              <w:rPr>
                <w:rFonts w:ascii="宋体" w:hAnsi="宋体"/>
                <w:color w:val="auto"/>
                <w:sz w:val="22"/>
                <w:szCs w:val="22"/>
                <w:highlight w:val="none"/>
              </w:rPr>
            </w:pPr>
          </w:p>
        </w:tc>
        <w:tc>
          <w:tcPr>
            <w:tcW w:w="981"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2"/>
                <w:szCs w:val="22"/>
                <w:highlight w:val="none"/>
              </w:rPr>
            </w:pPr>
          </w:p>
        </w:tc>
        <w:tc>
          <w:tcPr>
            <w:tcW w:w="1180" w:type="dxa"/>
            <w:noWrap/>
            <w:vAlign w:val="center"/>
          </w:tcPr>
          <w:p>
            <w:pPr>
              <w:spacing w:line="480" w:lineRule="exact"/>
              <w:jc w:val="center"/>
              <w:rPr>
                <w:rFonts w:ascii="宋体" w:hAnsi="宋体"/>
                <w:color w:val="auto"/>
                <w:sz w:val="22"/>
                <w:szCs w:val="22"/>
                <w:highlight w:val="none"/>
              </w:rPr>
            </w:pPr>
          </w:p>
        </w:tc>
        <w:tc>
          <w:tcPr>
            <w:tcW w:w="2444" w:type="dxa"/>
            <w:noWrap/>
            <w:vAlign w:val="center"/>
          </w:tcPr>
          <w:p>
            <w:pPr>
              <w:spacing w:line="480" w:lineRule="exact"/>
              <w:jc w:val="center"/>
              <w:rPr>
                <w:rFonts w:ascii="宋体" w:hAnsi="宋体"/>
                <w:color w:val="auto"/>
                <w:sz w:val="22"/>
                <w:szCs w:val="22"/>
                <w:highlight w:val="none"/>
              </w:rPr>
            </w:pPr>
          </w:p>
        </w:tc>
        <w:tc>
          <w:tcPr>
            <w:tcW w:w="1241" w:type="dxa"/>
            <w:noWrap/>
            <w:vAlign w:val="center"/>
          </w:tcPr>
          <w:p>
            <w:pPr>
              <w:spacing w:line="480" w:lineRule="exact"/>
              <w:jc w:val="center"/>
              <w:rPr>
                <w:rFonts w:ascii="宋体" w:hAnsi="宋体"/>
                <w:color w:val="auto"/>
                <w:sz w:val="22"/>
                <w:szCs w:val="22"/>
                <w:highlight w:val="none"/>
              </w:rPr>
            </w:pPr>
          </w:p>
        </w:tc>
        <w:tc>
          <w:tcPr>
            <w:tcW w:w="2341" w:type="dxa"/>
            <w:noWrap/>
            <w:vAlign w:val="center"/>
          </w:tcPr>
          <w:p>
            <w:pPr>
              <w:spacing w:line="480" w:lineRule="exact"/>
              <w:jc w:val="center"/>
              <w:rPr>
                <w:rFonts w:ascii="宋体" w:hAnsi="宋体"/>
                <w:color w:val="auto"/>
                <w:sz w:val="22"/>
                <w:szCs w:val="22"/>
                <w:highlight w:val="none"/>
              </w:rPr>
            </w:pPr>
          </w:p>
        </w:tc>
        <w:tc>
          <w:tcPr>
            <w:tcW w:w="981"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2"/>
                <w:szCs w:val="22"/>
                <w:highlight w:val="none"/>
              </w:rPr>
            </w:pPr>
          </w:p>
        </w:tc>
        <w:tc>
          <w:tcPr>
            <w:tcW w:w="1180" w:type="dxa"/>
            <w:noWrap/>
            <w:vAlign w:val="center"/>
          </w:tcPr>
          <w:p>
            <w:pPr>
              <w:spacing w:line="480" w:lineRule="exact"/>
              <w:jc w:val="center"/>
              <w:rPr>
                <w:rFonts w:ascii="宋体" w:hAnsi="宋体"/>
                <w:color w:val="auto"/>
                <w:sz w:val="22"/>
                <w:szCs w:val="22"/>
                <w:highlight w:val="none"/>
              </w:rPr>
            </w:pPr>
          </w:p>
        </w:tc>
        <w:tc>
          <w:tcPr>
            <w:tcW w:w="2444" w:type="dxa"/>
            <w:noWrap/>
            <w:vAlign w:val="center"/>
          </w:tcPr>
          <w:p>
            <w:pPr>
              <w:spacing w:line="480" w:lineRule="exact"/>
              <w:jc w:val="center"/>
              <w:rPr>
                <w:rFonts w:ascii="宋体" w:hAnsi="宋体"/>
                <w:color w:val="auto"/>
                <w:sz w:val="22"/>
                <w:szCs w:val="22"/>
                <w:highlight w:val="none"/>
              </w:rPr>
            </w:pPr>
          </w:p>
        </w:tc>
        <w:tc>
          <w:tcPr>
            <w:tcW w:w="1241" w:type="dxa"/>
            <w:noWrap/>
            <w:vAlign w:val="center"/>
          </w:tcPr>
          <w:p>
            <w:pPr>
              <w:spacing w:line="480" w:lineRule="exact"/>
              <w:jc w:val="center"/>
              <w:rPr>
                <w:rFonts w:ascii="宋体" w:hAnsi="宋体"/>
                <w:color w:val="auto"/>
                <w:sz w:val="22"/>
                <w:szCs w:val="22"/>
                <w:highlight w:val="none"/>
              </w:rPr>
            </w:pPr>
          </w:p>
        </w:tc>
        <w:tc>
          <w:tcPr>
            <w:tcW w:w="2341" w:type="dxa"/>
            <w:noWrap/>
            <w:vAlign w:val="center"/>
          </w:tcPr>
          <w:p>
            <w:pPr>
              <w:spacing w:line="480" w:lineRule="exact"/>
              <w:jc w:val="center"/>
              <w:rPr>
                <w:rFonts w:ascii="宋体" w:hAnsi="宋体"/>
                <w:color w:val="auto"/>
                <w:sz w:val="22"/>
                <w:szCs w:val="22"/>
                <w:highlight w:val="none"/>
              </w:rPr>
            </w:pPr>
          </w:p>
        </w:tc>
        <w:tc>
          <w:tcPr>
            <w:tcW w:w="981"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2"/>
                <w:szCs w:val="22"/>
                <w:highlight w:val="none"/>
              </w:rPr>
            </w:pPr>
          </w:p>
        </w:tc>
        <w:tc>
          <w:tcPr>
            <w:tcW w:w="1180" w:type="dxa"/>
            <w:noWrap/>
            <w:vAlign w:val="center"/>
          </w:tcPr>
          <w:p>
            <w:pPr>
              <w:spacing w:line="480" w:lineRule="exact"/>
              <w:jc w:val="center"/>
              <w:rPr>
                <w:rFonts w:ascii="宋体" w:hAnsi="宋体"/>
                <w:color w:val="auto"/>
                <w:sz w:val="22"/>
                <w:szCs w:val="22"/>
                <w:highlight w:val="none"/>
              </w:rPr>
            </w:pPr>
          </w:p>
        </w:tc>
        <w:tc>
          <w:tcPr>
            <w:tcW w:w="2444" w:type="dxa"/>
            <w:noWrap/>
            <w:vAlign w:val="center"/>
          </w:tcPr>
          <w:p>
            <w:pPr>
              <w:spacing w:line="480" w:lineRule="exact"/>
              <w:jc w:val="center"/>
              <w:rPr>
                <w:rFonts w:ascii="宋体" w:hAnsi="宋体"/>
                <w:color w:val="auto"/>
                <w:sz w:val="22"/>
                <w:szCs w:val="22"/>
                <w:highlight w:val="none"/>
              </w:rPr>
            </w:pPr>
          </w:p>
        </w:tc>
        <w:tc>
          <w:tcPr>
            <w:tcW w:w="1241" w:type="dxa"/>
            <w:noWrap/>
            <w:vAlign w:val="center"/>
          </w:tcPr>
          <w:p>
            <w:pPr>
              <w:spacing w:line="480" w:lineRule="exact"/>
              <w:jc w:val="center"/>
              <w:rPr>
                <w:rFonts w:ascii="宋体" w:hAnsi="宋体"/>
                <w:color w:val="auto"/>
                <w:sz w:val="22"/>
                <w:szCs w:val="22"/>
                <w:highlight w:val="none"/>
              </w:rPr>
            </w:pPr>
          </w:p>
        </w:tc>
        <w:tc>
          <w:tcPr>
            <w:tcW w:w="2341" w:type="dxa"/>
            <w:noWrap/>
            <w:vAlign w:val="center"/>
          </w:tcPr>
          <w:p>
            <w:pPr>
              <w:spacing w:line="480" w:lineRule="exact"/>
              <w:jc w:val="center"/>
              <w:rPr>
                <w:rFonts w:ascii="宋体" w:hAnsi="宋体"/>
                <w:color w:val="auto"/>
                <w:sz w:val="22"/>
                <w:szCs w:val="22"/>
                <w:highlight w:val="none"/>
              </w:rPr>
            </w:pPr>
          </w:p>
        </w:tc>
        <w:tc>
          <w:tcPr>
            <w:tcW w:w="981"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2"/>
                <w:szCs w:val="22"/>
                <w:highlight w:val="none"/>
              </w:rPr>
            </w:pPr>
          </w:p>
        </w:tc>
        <w:tc>
          <w:tcPr>
            <w:tcW w:w="1180" w:type="dxa"/>
            <w:noWrap/>
            <w:vAlign w:val="center"/>
          </w:tcPr>
          <w:p>
            <w:pPr>
              <w:spacing w:line="480" w:lineRule="exact"/>
              <w:jc w:val="center"/>
              <w:rPr>
                <w:rFonts w:ascii="宋体" w:hAnsi="宋体"/>
                <w:color w:val="auto"/>
                <w:sz w:val="22"/>
                <w:szCs w:val="22"/>
                <w:highlight w:val="none"/>
              </w:rPr>
            </w:pPr>
          </w:p>
        </w:tc>
        <w:tc>
          <w:tcPr>
            <w:tcW w:w="2444" w:type="dxa"/>
            <w:noWrap/>
            <w:vAlign w:val="center"/>
          </w:tcPr>
          <w:p>
            <w:pPr>
              <w:spacing w:line="480" w:lineRule="exact"/>
              <w:jc w:val="center"/>
              <w:rPr>
                <w:rFonts w:ascii="宋体" w:hAnsi="宋体"/>
                <w:color w:val="auto"/>
                <w:sz w:val="22"/>
                <w:szCs w:val="22"/>
                <w:highlight w:val="none"/>
              </w:rPr>
            </w:pPr>
          </w:p>
        </w:tc>
        <w:tc>
          <w:tcPr>
            <w:tcW w:w="1241" w:type="dxa"/>
            <w:noWrap/>
            <w:vAlign w:val="center"/>
          </w:tcPr>
          <w:p>
            <w:pPr>
              <w:spacing w:line="480" w:lineRule="exact"/>
              <w:jc w:val="center"/>
              <w:rPr>
                <w:rFonts w:ascii="宋体" w:hAnsi="宋体"/>
                <w:color w:val="auto"/>
                <w:sz w:val="22"/>
                <w:szCs w:val="22"/>
                <w:highlight w:val="none"/>
              </w:rPr>
            </w:pPr>
          </w:p>
        </w:tc>
        <w:tc>
          <w:tcPr>
            <w:tcW w:w="2341" w:type="dxa"/>
            <w:noWrap/>
            <w:vAlign w:val="center"/>
          </w:tcPr>
          <w:p>
            <w:pPr>
              <w:spacing w:line="480" w:lineRule="exact"/>
              <w:jc w:val="center"/>
              <w:rPr>
                <w:rFonts w:ascii="宋体" w:hAnsi="宋体"/>
                <w:color w:val="auto"/>
                <w:sz w:val="22"/>
                <w:szCs w:val="22"/>
                <w:highlight w:val="none"/>
              </w:rPr>
            </w:pPr>
          </w:p>
        </w:tc>
        <w:tc>
          <w:tcPr>
            <w:tcW w:w="981"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2"/>
                <w:szCs w:val="22"/>
                <w:highlight w:val="none"/>
              </w:rPr>
            </w:pPr>
          </w:p>
        </w:tc>
        <w:tc>
          <w:tcPr>
            <w:tcW w:w="1180" w:type="dxa"/>
            <w:noWrap/>
            <w:vAlign w:val="center"/>
          </w:tcPr>
          <w:p>
            <w:pPr>
              <w:spacing w:line="480" w:lineRule="exact"/>
              <w:jc w:val="center"/>
              <w:rPr>
                <w:rFonts w:ascii="宋体" w:hAnsi="宋体"/>
                <w:color w:val="auto"/>
                <w:sz w:val="22"/>
                <w:szCs w:val="22"/>
                <w:highlight w:val="none"/>
              </w:rPr>
            </w:pPr>
          </w:p>
        </w:tc>
        <w:tc>
          <w:tcPr>
            <w:tcW w:w="2444" w:type="dxa"/>
            <w:noWrap/>
            <w:vAlign w:val="center"/>
          </w:tcPr>
          <w:p>
            <w:pPr>
              <w:spacing w:line="480" w:lineRule="exact"/>
              <w:jc w:val="center"/>
              <w:rPr>
                <w:rFonts w:ascii="宋体" w:hAnsi="宋体"/>
                <w:color w:val="auto"/>
                <w:sz w:val="22"/>
                <w:szCs w:val="22"/>
                <w:highlight w:val="none"/>
              </w:rPr>
            </w:pPr>
          </w:p>
        </w:tc>
        <w:tc>
          <w:tcPr>
            <w:tcW w:w="1241" w:type="dxa"/>
            <w:noWrap/>
            <w:vAlign w:val="center"/>
          </w:tcPr>
          <w:p>
            <w:pPr>
              <w:spacing w:line="480" w:lineRule="exact"/>
              <w:jc w:val="center"/>
              <w:rPr>
                <w:rFonts w:ascii="宋体" w:hAnsi="宋体"/>
                <w:color w:val="auto"/>
                <w:sz w:val="22"/>
                <w:szCs w:val="22"/>
                <w:highlight w:val="none"/>
              </w:rPr>
            </w:pPr>
          </w:p>
        </w:tc>
        <w:tc>
          <w:tcPr>
            <w:tcW w:w="2341" w:type="dxa"/>
            <w:noWrap/>
            <w:vAlign w:val="center"/>
          </w:tcPr>
          <w:p>
            <w:pPr>
              <w:spacing w:line="480" w:lineRule="exact"/>
              <w:jc w:val="center"/>
              <w:rPr>
                <w:rFonts w:ascii="宋体" w:hAnsi="宋体"/>
                <w:color w:val="auto"/>
                <w:sz w:val="22"/>
                <w:szCs w:val="22"/>
                <w:highlight w:val="none"/>
              </w:rPr>
            </w:pPr>
          </w:p>
        </w:tc>
        <w:tc>
          <w:tcPr>
            <w:tcW w:w="981"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auto"/>
                <w:sz w:val="22"/>
                <w:szCs w:val="22"/>
                <w:highlight w:val="none"/>
              </w:rPr>
            </w:pPr>
          </w:p>
        </w:tc>
        <w:tc>
          <w:tcPr>
            <w:tcW w:w="1180" w:type="dxa"/>
            <w:noWrap/>
            <w:vAlign w:val="center"/>
          </w:tcPr>
          <w:p>
            <w:pPr>
              <w:spacing w:line="480" w:lineRule="exact"/>
              <w:jc w:val="center"/>
              <w:rPr>
                <w:rFonts w:ascii="宋体" w:hAnsi="宋体"/>
                <w:color w:val="auto"/>
                <w:sz w:val="22"/>
                <w:szCs w:val="22"/>
                <w:highlight w:val="none"/>
              </w:rPr>
            </w:pPr>
          </w:p>
        </w:tc>
        <w:tc>
          <w:tcPr>
            <w:tcW w:w="2444" w:type="dxa"/>
            <w:noWrap/>
            <w:vAlign w:val="center"/>
          </w:tcPr>
          <w:p>
            <w:pPr>
              <w:spacing w:line="480" w:lineRule="exact"/>
              <w:jc w:val="center"/>
              <w:rPr>
                <w:rFonts w:ascii="宋体" w:hAnsi="宋体"/>
                <w:color w:val="auto"/>
                <w:sz w:val="22"/>
                <w:szCs w:val="22"/>
                <w:highlight w:val="none"/>
              </w:rPr>
            </w:pPr>
          </w:p>
        </w:tc>
        <w:tc>
          <w:tcPr>
            <w:tcW w:w="1241" w:type="dxa"/>
            <w:noWrap/>
            <w:vAlign w:val="center"/>
          </w:tcPr>
          <w:p>
            <w:pPr>
              <w:spacing w:line="480" w:lineRule="exact"/>
              <w:jc w:val="center"/>
              <w:rPr>
                <w:rFonts w:ascii="宋体" w:hAnsi="宋体"/>
                <w:color w:val="auto"/>
                <w:sz w:val="22"/>
                <w:szCs w:val="22"/>
                <w:highlight w:val="none"/>
              </w:rPr>
            </w:pPr>
          </w:p>
        </w:tc>
        <w:tc>
          <w:tcPr>
            <w:tcW w:w="2341" w:type="dxa"/>
            <w:noWrap/>
            <w:vAlign w:val="center"/>
          </w:tcPr>
          <w:p>
            <w:pPr>
              <w:spacing w:line="480" w:lineRule="exact"/>
              <w:jc w:val="center"/>
              <w:rPr>
                <w:rFonts w:ascii="宋体" w:hAnsi="宋体"/>
                <w:color w:val="auto"/>
                <w:sz w:val="22"/>
                <w:szCs w:val="22"/>
                <w:highlight w:val="none"/>
              </w:rPr>
            </w:pPr>
          </w:p>
        </w:tc>
        <w:tc>
          <w:tcPr>
            <w:tcW w:w="981" w:type="dxa"/>
            <w:noWrap/>
            <w:vAlign w:val="center"/>
          </w:tcPr>
          <w:p>
            <w:pPr>
              <w:spacing w:line="480" w:lineRule="exact"/>
              <w:jc w:val="center"/>
              <w:rPr>
                <w:rFonts w:ascii="宋体" w:hAnsi="宋体"/>
                <w:color w:val="auto"/>
                <w:sz w:val="22"/>
                <w:szCs w:val="22"/>
                <w:highlight w:val="none"/>
              </w:rPr>
            </w:pPr>
          </w:p>
        </w:tc>
      </w:tr>
    </w:tbl>
    <w:p>
      <w:pPr>
        <w:spacing w:line="480" w:lineRule="exact"/>
        <w:rPr>
          <w:rFonts w:ascii="宋体" w:hAnsi="宋体"/>
          <w:color w:val="auto"/>
          <w:sz w:val="28"/>
          <w:szCs w:val="21"/>
          <w:highlight w:val="none"/>
        </w:rPr>
      </w:pPr>
    </w:p>
    <w:p>
      <w:pPr>
        <w:spacing w:line="480" w:lineRule="exact"/>
        <w:ind w:firstLine="140" w:firstLineChars="50"/>
        <w:rPr>
          <w:rFonts w:ascii="宋体" w:hAnsi="宋体"/>
          <w:color w:val="auto"/>
          <w:sz w:val="28"/>
          <w:szCs w:val="21"/>
          <w:highlight w:val="none"/>
        </w:rPr>
      </w:pPr>
      <w:r>
        <w:rPr>
          <w:rFonts w:hint="eastAsia" w:ascii="宋体" w:hAnsi="宋体"/>
          <w:color w:val="auto"/>
          <w:sz w:val="28"/>
          <w:szCs w:val="21"/>
          <w:highlight w:val="none"/>
        </w:rPr>
        <w:t>供应商：（公章）</w:t>
      </w:r>
    </w:p>
    <w:p>
      <w:pPr>
        <w:spacing w:line="480" w:lineRule="exact"/>
        <w:ind w:firstLine="140" w:firstLineChars="50"/>
        <w:rPr>
          <w:rFonts w:ascii="宋体" w:hAnsi="宋体"/>
          <w:color w:val="auto"/>
          <w:sz w:val="28"/>
          <w:szCs w:val="21"/>
          <w:highlight w:val="none"/>
        </w:rPr>
      </w:pPr>
      <w:r>
        <w:rPr>
          <w:rFonts w:hint="eastAsia" w:ascii="宋体" w:hAnsi="宋体"/>
          <w:color w:val="auto"/>
          <w:sz w:val="28"/>
          <w:szCs w:val="21"/>
          <w:highlight w:val="none"/>
        </w:rPr>
        <w:t>法定代表人或供应商全权代表：（签字或印章）</w:t>
      </w:r>
    </w:p>
    <w:p>
      <w:pPr>
        <w:spacing w:line="480" w:lineRule="exact"/>
        <w:rPr>
          <w:rFonts w:ascii="宋体" w:hAnsi="宋体"/>
          <w:color w:val="auto"/>
          <w:sz w:val="28"/>
          <w:szCs w:val="21"/>
          <w:highlight w:val="none"/>
        </w:rPr>
      </w:pPr>
    </w:p>
    <w:p>
      <w:pPr>
        <w:spacing w:line="480" w:lineRule="exact"/>
        <w:jc w:val="right"/>
        <w:rPr>
          <w:rFonts w:ascii="宋体" w:hAnsi="宋体"/>
          <w:color w:val="auto"/>
          <w:sz w:val="28"/>
          <w:szCs w:val="21"/>
          <w:highlight w:val="none"/>
        </w:rPr>
      </w:pPr>
      <w:r>
        <w:rPr>
          <w:rFonts w:hint="eastAsia" w:ascii="宋体" w:hAnsi="宋体"/>
          <w:color w:val="auto"/>
          <w:sz w:val="28"/>
          <w:szCs w:val="21"/>
          <w:highlight w:val="none"/>
        </w:rPr>
        <w:t>年  月  日</w:t>
      </w:r>
    </w:p>
    <w:p>
      <w:pPr>
        <w:rPr>
          <w:rFonts w:ascii="宋体" w:hAnsi="宋体"/>
          <w:color w:val="auto"/>
          <w:sz w:val="28"/>
          <w:szCs w:val="21"/>
          <w:highlight w:val="none"/>
        </w:rPr>
      </w:pPr>
      <w:r>
        <w:rPr>
          <w:rFonts w:hint="eastAsia" w:ascii="宋体" w:hAnsi="宋体"/>
          <w:color w:val="auto"/>
          <w:sz w:val="28"/>
          <w:szCs w:val="21"/>
          <w:highlight w:val="none"/>
        </w:rPr>
        <w:br w:type="page"/>
      </w:r>
    </w:p>
    <w:p>
      <w:pPr>
        <w:spacing w:line="480" w:lineRule="exact"/>
        <w:rPr>
          <w:rFonts w:ascii="宋体" w:hAnsi="宋体"/>
          <w:color w:val="auto"/>
          <w:sz w:val="28"/>
          <w:szCs w:val="21"/>
          <w:highlight w:val="none"/>
        </w:rPr>
      </w:pPr>
      <w:r>
        <w:rPr>
          <w:rFonts w:hint="eastAsia" w:ascii="宋体" w:hAnsi="宋体"/>
          <w:color w:val="auto"/>
          <w:sz w:val="28"/>
          <w:szCs w:val="21"/>
          <w:highlight w:val="none"/>
        </w:rPr>
        <w:t>附件九：</w:t>
      </w:r>
    </w:p>
    <w:p>
      <w:pPr>
        <w:spacing w:before="100" w:beforeAutospacing="1" w:after="100" w:afterAutospacing="1" w:line="440" w:lineRule="exact"/>
        <w:jc w:val="center"/>
        <w:rPr>
          <w:rFonts w:ascii="宋体" w:hAnsi="宋体"/>
          <w:b/>
          <w:color w:val="auto"/>
          <w:sz w:val="36"/>
          <w:szCs w:val="36"/>
          <w:highlight w:val="none"/>
        </w:rPr>
      </w:pPr>
      <w:r>
        <w:rPr>
          <w:rFonts w:hint="eastAsia" w:ascii="宋体" w:hAnsi="宋体"/>
          <w:b/>
          <w:color w:val="auto"/>
          <w:sz w:val="36"/>
          <w:szCs w:val="36"/>
          <w:highlight w:val="none"/>
        </w:rPr>
        <w:t>同类项目业绩一览表</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2091"/>
        <w:gridCol w:w="1252"/>
        <w:gridCol w:w="1252"/>
        <w:gridCol w:w="1835"/>
        <w:gridCol w:w="1198"/>
        <w:gridCol w:w="13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bCs/>
                <w:color w:val="auto"/>
                <w:sz w:val="28"/>
                <w:szCs w:val="28"/>
                <w:highlight w:val="none"/>
              </w:rPr>
            </w:pPr>
            <w:r>
              <w:rPr>
                <w:rFonts w:hint="eastAsia" w:ascii="宋体" w:hAnsi="宋体" w:cs="Arial"/>
                <w:bCs/>
                <w:color w:val="auto"/>
                <w:sz w:val="28"/>
                <w:szCs w:val="28"/>
                <w:highlight w:val="none"/>
              </w:rPr>
              <w:t>序号</w:t>
            </w: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bCs/>
                <w:color w:val="auto"/>
                <w:sz w:val="28"/>
                <w:szCs w:val="28"/>
                <w:highlight w:val="none"/>
              </w:rPr>
            </w:pPr>
            <w:r>
              <w:rPr>
                <w:rFonts w:hint="eastAsia" w:ascii="宋体" w:hAnsi="宋体" w:cs="Arial"/>
                <w:bCs/>
                <w:color w:val="auto"/>
                <w:sz w:val="28"/>
                <w:szCs w:val="28"/>
                <w:highlight w:val="none"/>
              </w:rPr>
              <w:t>采购单位名称</w:t>
            </w: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bCs/>
                <w:color w:val="auto"/>
                <w:sz w:val="28"/>
                <w:szCs w:val="28"/>
                <w:highlight w:val="none"/>
              </w:rPr>
            </w:pPr>
            <w:r>
              <w:rPr>
                <w:rFonts w:hint="eastAsia" w:ascii="宋体" w:hAnsi="宋体" w:cs="Arial"/>
                <w:bCs/>
                <w:color w:val="auto"/>
                <w:sz w:val="28"/>
                <w:szCs w:val="28"/>
                <w:highlight w:val="none"/>
              </w:rPr>
              <w:t>采购内容</w:t>
            </w: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bCs/>
                <w:color w:val="auto"/>
                <w:sz w:val="28"/>
                <w:szCs w:val="28"/>
                <w:highlight w:val="none"/>
              </w:rPr>
            </w:pPr>
            <w:r>
              <w:rPr>
                <w:rFonts w:hint="eastAsia" w:ascii="宋体" w:hAnsi="宋体" w:cs="Arial"/>
                <w:bCs/>
                <w:color w:val="auto"/>
                <w:sz w:val="28"/>
                <w:szCs w:val="28"/>
                <w:highlight w:val="none"/>
              </w:rPr>
              <w:t>合同总价</w:t>
            </w: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ind w:right="-435" w:rightChars="-207" w:firstLine="1400" w:firstLineChars="500"/>
              <w:rPr>
                <w:rFonts w:ascii="宋体" w:hAnsi="宋体" w:cs="Arial"/>
                <w:bCs/>
                <w:color w:val="auto"/>
                <w:sz w:val="28"/>
                <w:szCs w:val="28"/>
                <w:highlight w:val="none"/>
              </w:rPr>
            </w:pPr>
            <w:r>
              <w:rPr>
                <w:rFonts w:hint="eastAsia" w:ascii="宋体" w:hAnsi="宋体" w:cs="Arial"/>
                <w:bCs/>
                <w:color w:val="auto"/>
                <w:sz w:val="28"/>
                <w:szCs w:val="28"/>
                <w:highlight w:val="none"/>
              </w:rPr>
              <w:t>签订合同时间</w:t>
            </w: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bCs/>
                <w:color w:val="auto"/>
                <w:sz w:val="28"/>
                <w:szCs w:val="28"/>
                <w:highlight w:val="none"/>
              </w:rPr>
            </w:pPr>
            <w:r>
              <w:rPr>
                <w:rFonts w:hint="eastAsia" w:ascii="宋体" w:hAnsi="宋体" w:cs="Arial"/>
                <w:bCs/>
                <w:color w:val="auto"/>
                <w:sz w:val="28"/>
                <w:szCs w:val="28"/>
                <w:highlight w:val="none"/>
              </w:rPr>
              <w:t>联系人</w:t>
            </w: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bCs/>
                <w:color w:val="auto"/>
                <w:sz w:val="28"/>
                <w:szCs w:val="28"/>
                <w:highlight w:val="none"/>
              </w:rPr>
            </w:pPr>
            <w:r>
              <w:rPr>
                <w:rFonts w:hint="eastAsia" w:ascii="宋体" w:hAnsi="宋体" w:cs="Arial"/>
                <w:bCs/>
                <w:color w:val="auto"/>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auto"/>
                <w:sz w:val="22"/>
                <w:szCs w:val="22"/>
                <w:highlight w:val="none"/>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auto"/>
                <w:sz w:val="22"/>
                <w:szCs w:val="22"/>
                <w:highlight w:val="none"/>
              </w:rPr>
            </w:pPr>
          </w:p>
        </w:tc>
      </w:tr>
    </w:tbl>
    <w:p>
      <w:pPr>
        <w:spacing w:line="480" w:lineRule="exact"/>
        <w:ind w:firstLine="140" w:firstLineChars="50"/>
        <w:rPr>
          <w:rFonts w:ascii="宋体" w:hAnsi="宋体"/>
          <w:color w:val="auto"/>
          <w:sz w:val="28"/>
          <w:szCs w:val="21"/>
          <w:highlight w:val="none"/>
        </w:rPr>
      </w:pPr>
      <w:r>
        <w:rPr>
          <w:rFonts w:hint="eastAsia" w:ascii="宋体" w:hAnsi="宋体"/>
          <w:color w:val="auto"/>
          <w:sz w:val="28"/>
          <w:szCs w:val="21"/>
          <w:highlight w:val="none"/>
        </w:rPr>
        <w:t>注：供应商应在本表之后附相关证明材料。</w:t>
      </w: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r>
        <w:rPr>
          <w:rFonts w:hint="eastAsia" w:ascii="宋体" w:hAnsi="宋体"/>
          <w:color w:val="auto"/>
          <w:sz w:val="28"/>
          <w:szCs w:val="21"/>
          <w:highlight w:val="none"/>
        </w:rPr>
        <w:t>供应商：（公章）</w:t>
      </w:r>
    </w:p>
    <w:p>
      <w:pPr>
        <w:spacing w:line="480" w:lineRule="exact"/>
        <w:rPr>
          <w:rFonts w:ascii="宋体" w:hAnsi="宋体"/>
          <w:color w:val="auto"/>
          <w:sz w:val="28"/>
          <w:szCs w:val="21"/>
          <w:highlight w:val="none"/>
        </w:rPr>
      </w:pPr>
      <w:r>
        <w:rPr>
          <w:rFonts w:hint="eastAsia" w:ascii="宋体" w:hAnsi="宋体"/>
          <w:color w:val="auto"/>
          <w:sz w:val="28"/>
          <w:szCs w:val="21"/>
          <w:highlight w:val="none"/>
        </w:rPr>
        <w:t>法定代表人或供应商全权代表：（签字或印章）</w:t>
      </w:r>
    </w:p>
    <w:p>
      <w:pPr>
        <w:spacing w:line="480" w:lineRule="exact"/>
        <w:rPr>
          <w:rFonts w:ascii="宋体" w:hAnsi="宋体"/>
          <w:color w:val="auto"/>
          <w:sz w:val="28"/>
          <w:szCs w:val="21"/>
          <w:highlight w:val="none"/>
        </w:rPr>
      </w:pPr>
    </w:p>
    <w:p>
      <w:pPr>
        <w:spacing w:line="480" w:lineRule="exact"/>
        <w:jc w:val="right"/>
        <w:rPr>
          <w:rFonts w:ascii="宋体" w:hAnsi="宋体"/>
          <w:color w:val="auto"/>
          <w:sz w:val="28"/>
          <w:szCs w:val="21"/>
          <w:highlight w:val="none"/>
        </w:rPr>
      </w:pPr>
      <w:r>
        <w:rPr>
          <w:rFonts w:hint="eastAsia" w:ascii="宋体" w:hAnsi="宋体"/>
          <w:color w:val="auto"/>
          <w:sz w:val="28"/>
          <w:szCs w:val="21"/>
          <w:highlight w:val="none"/>
        </w:rPr>
        <w:t>年  月  日</w:t>
      </w:r>
    </w:p>
    <w:p>
      <w:pPr>
        <w:spacing w:line="480" w:lineRule="exact"/>
        <w:rPr>
          <w:rFonts w:ascii="宋体" w:hAnsi="宋体"/>
          <w:color w:val="auto"/>
          <w:sz w:val="28"/>
          <w:szCs w:val="21"/>
          <w:highlight w:val="none"/>
        </w:rPr>
      </w:pPr>
    </w:p>
    <w:p>
      <w:pPr>
        <w:spacing w:line="480" w:lineRule="exact"/>
        <w:jc w:val="left"/>
        <w:rPr>
          <w:rFonts w:ascii="宋体" w:hAnsi="宋体"/>
          <w:color w:val="auto"/>
          <w:sz w:val="28"/>
          <w:szCs w:val="21"/>
          <w:highlight w:val="none"/>
        </w:rPr>
      </w:pPr>
      <w:r>
        <w:rPr>
          <w:rFonts w:hint="eastAsia" w:ascii="宋体" w:hAnsi="宋体"/>
          <w:color w:val="auto"/>
          <w:sz w:val="28"/>
          <w:szCs w:val="21"/>
          <w:highlight w:val="none"/>
        </w:rPr>
        <w:t>附件十：</w:t>
      </w:r>
    </w:p>
    <w:p>
      <w:pPr>
        <w:spacing w:line="480" w:lineRule="exact"/>
        <w:jc w:val="center"/>
        <w:rPr>
          <w:rFonts w:ascii="宋体" w:hAnsi="宋体"/>
          <w:b/>
          <w:color w:val="auto"/>
          <w:sz w:val="36"/>
          <w:szCs w:val="36"/>
          <w:highlight w:val="none"/>
        </w:rPr>
      </w:pPr>
      <w:r>
        <w:rPr>
          <w:rFonts w:hint="eastAsia" w:ascii="宋体" w:hAnsi="宋体"/>
          <w:b/>
          <w:color w:val="auto"/>
          <w:sz w:val="36"/>
          <w:szCs w:val="36"/>
          <w:highlight w:val="none"/>
        </w:rPr>
        <w:t>技术条款偏离表</w:t>
      </w:r>
    </w:p>
    <w:p>
      <w:pPr>
        <w:spacing w:line="480" w:lineRule="exact"/>
        <w:jc w:val="center"/>
        <w:rPr>
          <w:rFonts w:ascii="宋体" w:hAnsi="宋体"/>
          <w:b/>
          <w:color w:val="auto"/>
          <w:sz w:val="40"/>
          <w:szCs w:val="40"/>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82"/>
        <w:gridCol w:w="2519"/>
        <w:gridCol w:w="1080"/>
        <w:gridCol w:w="251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restart"/>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序号</w:t>
            </w:r>
          </w:p>
        </w:tc>
        <w:tc>
          <w:tcPr>
            <w:tcW w:w="3601" w:type="dxa"/>
            <w:gridSpan w:val="2"/>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磋商文件</w:t>
            </w:r>
          </w:p>
        </w:tc>
        <w:tc>
          <w:tcPr>
            <w:tcW w:w="3599" w:type="dxa"/>
            <w:gridSpan w:val="2"/>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响应文件</w:t>
            </w:r>
          </w:p>
        </w:tc>
        <w:tc>
          <w:tcPr>
            <w:tcW w:w="1079" w:type="dxa"/>
            <w:vMerge w:val="restart"/>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continue"/>
            <w:noWrap/>
            <w:vAlign w:val="center"/>
          </w:tcPr>
          <w:p>
            <w:pPr>
              <w:spacing w:line="480" w:lineRule="exact"/>
              <w:jc w:val="center"/>
              <w:rPr>
                <w:rFonts w:ascii="宋体" w:hAnsi="宋体"/>
                <w:color w:val="auto"/>
                <w:sz w:val="28"/>
                <w:szCs w:val="28"/>
                <w:highlight w:val="none"/>
              </w:rPr>
            </w:pPr>
          </w:p>
        </w:tc>
        <w:tc>
          <w:tcPr>
            <w:tcW w:w="1082" w:type="dxa"/>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条款号</w:t>
            </w:r>
          </w:p>
        </w:tc>
        <w:tc>
          <w:tcPr>
            <w:tcW w:w="2519" w:type="dxa"/>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条款内容</w:t>
            </w:r>
          </w:p>
        </w:tc>
        <w:tc>
          <w:tcPr>
            <w:tcW w:w="1080" w:type="dxa"/>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条款号</w:t>
            </w:r>
          </w:p>
        </w:tc>
        <w:tc>
          <w:tcPr>
            <w:tcW w:w="2519" w:type="dxa"/>
            <w:noWrap/>
            <w:vAlign w:val="center"/>
          </w:tcPr>
          <w:p>
            <w:pPr>
              <w:spacing w:line="480" w:lineRule="exact"/>
              <w:jc w:val="center"/>
              <w:rPr>
                <w:rFonts w:ascii="宋体" w:hAnsi="宋体"/>
                <w:color w:val="auto"/>
                <w:sz w:val="28"/>
                <w:szCs w:val="28"/>
                <w:highlight w:val="none"/>
              </w:rPr>
            </w:pPr>
            <w:r>
              <w:rPr>
                <w:rFonts w:hint="eastAsia" w:ascii="宋体" w:hAnsi="宋体"/>
                <w:color w:val="auto"/>
                <w:sz w:val="28"/>
                <w:szCs w:val="28"/>
                <w:highlight w:val="none"/>
              </w:rPr>
              <w:t>条款内容</w:t>
            </w:r>
          </w:p>
        </w:tc>
        <w:tc>
          <w:tcPr>
            <w:tcW w:w="1079" w:type="dxa"/>
            <w:vMerge w:val="continue"/>
            <w:noWrap/>
            <w:vAlign w:val="center"/>
          </w:tcPr>
          <w:p>
            <w:pPr>
              <w:spacing w:line="480" w:lineRule="exact"/>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8"/>
                <w:szCs w:val="28"/>
                <w:highlight w:val="none"/>
              </w:rPr>
            </w:pPr>
          </w:p>
        </w:tc>
        <w:tc>
          <w:tcPr>
            <w:tcW w:w="1082" w:type="dxa"/>
            <w:noWrap/>
            <w:vAlign w:val="center"/>
          </w:tcPr>
          <w:p>
            <w:pPr>
              <w:spacing w:line="480" w:lineRule="exact"/>
              <w:jc w:val="center"/>
              <w:rPr>
                <w:rFonts w:ascii="宋体" w:hAnsi="宋体"/>
                <w:color w:val="auto"/>
                <w:sz w:val="28"/>
                <w:szCs w:val="28"/>
                <w:highlight w:val="none"/>
              </w:rPr>
            </w:pPr>
          </w:p>
        </w:tc>
        <w:tc>
          <w:tcPr>
            <w:tcW w:w="2519" w:type="dxa"/>
            <w:noWrap/>
            <w:vAlign w:val="center"/>
          </w:tcPr>
          <w:p>
            <w:pPr>
              <w:spacing w:line="480" w:lineRule="exact"/>
              <w:jc w:val="center"/>
              <w:rPr>
                <w:rFonts w:ascii="宋体" w:hAnsi="宋体"/>
                <w:color w:val="auto"/>
                <w:sz w:val="28"/>
                <w:szCs w:val="28"/>
                <w:highlight w:val="none"/>
              </w:rPr>
            </w:pPr>
          </w:p>
        </w:tc>
        <w:tc>
          <w:tcPr>
            <w:tcW w:w="1080" w:type="dxa"/>
            <w:noWrap/>
            <w:vAlign w:val="center"/>
          </w:tcPr>
          <w:p>
            <w:pPr>
              <w:spacing w:line="480" w:lineRule="exact"/>
              <w:jc w:val="center"/>
              <w:rPr>
                <w:rFonts w:ascii="宋体" w:hAnsi="宋体"/>
                <w:color w:val="auto"/>
                <w:sz w:val="28"/>
                <w:szCs w:val="28"/>
                <w:highlight w:val="none"/>
              </w:rPr>
            </w:pPr>
          </w:p>
        </w:tc>
        <w:tc>
          <w:tcPr>
            <w:tcW w:w="2519" w:type="dxa"/>
            <w:noWrap/>
            <w:vAlign w:val="center"/>
          </w:tcPr>
          <w:p>
            <w:pPr>
              <w:spacing w:line="480" w:lineRule="exact"/>
              <w:jc w:val="center"/>
              <w:rPr>
                <w:rFonts w:ascii="宋体" w:hAnsi="宋体"/>
                <w:color w:val="auto"/>
                <w:sz w:val="28"/>
                <w:szCs w:val="28"/>
                <w:highlight w:val="none"/>
              </w:rPr>
            </w:pPr>
          </w:p>
        </w:tc>
        <w:tc>
          <w:tcPr>
            <w:tcW w:w="1079" w:type="dxa"/>
            <w:noWrap/>
            <w:vAlign w:val="center"/>
          </w:tcPr>
          <w:p>
            <w:pPr>
              <w:spacing w:line="480" w:lineRule="exact"/>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2"/>
                <w:szCs w:val="22"/>
                <w:highlight w:val="none"/>
              </w:rPr>
            </w:pPr>
          </w:p>
        </w:tc>
        <w:tc>
          <w:tcPr>
            <w:tcW w:w="1082"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80"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79"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2"/>
                <w:szCs w:val="22"/>
                <w:highlight w:val="none"/>
              </w:rPr>
            </w:pPr>
          </w:p>
        </w:tc>
        <w:tc>
          <w:tcPr>
            <w:tcW w:w="1082"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80"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79"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2"/>
                <w:szCs w:val="22"/>
                <w:highlight w:val="none"/>
              </w:rPr>
            </w:pPr>
          </w:p>
        </w:tc>
        <w:tc>
          <w:tcPr>
            <w:tcW w:w="1082"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80"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79"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2"/>
                <w:szCs w:val="22"/>
                <w:highlight w:val="none"/>
              </w:rPr>
            </w:pPr>
          </w:p>
        </w:tc>
        <w:tc>
          <w:tcPr>
            <w:tcW w:w="1082"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80"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79"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2"/>
                <w:szCs w:val="22"/>
                <w:highlight w:val="none"/>
              </w:rPr>
            </w:pPr>
          </w:p>
        </w:tc>
        <w:tc>
          <w:tcPr>
            <w:tcW w:w="1082"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80"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79"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2"/>
                <w:szCs w:val="22"/>
                <w:highlight w:val="none"/>
              </w:rPr>
            </w:pPr>
          </w:p>
        </w:tc>
        <w:tc>
          <w:tcPr>
            <w:tcW w:w="1082"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80"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79"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2"/>
                <w:szCs w:val="22"/>
                <w:highlight w:val="none"/>
              </w:rPr>
            </w:pPr>
          </w:p>
        </w:tc>
        <w:tc>
          <w:tcPr>
            <w:tcW w:w="1082"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80"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79"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2"/>
                <w:szCs w:val="22"/>
                <w:highlight w:val="none"/>
              </w:rPr>
            </w:pPr>
          </w:p>
        </w:tc>
        <w:tc>
          <w:tcPr>
            <w:tcW w:w="1082"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80"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79"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2"/>
                <w:szCs w:val="22"/>
                <w:highlight w:val="none"/>
              </w:rPr>
            </w:pPr>
          </w:p>
        </w:tc>
        <w:tc>
          <w:tcPr>
            <w:tcW w:w="1082"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80"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79"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2"/>
                <w:szCs w:val="22"/>
                <w:highlight w:val="none"/>
              </w:rPr>
            </w:pPr>
          </w:p>
        </w:tc>
        <w:tc>
          <w:tcPr>
            <w:tcW w:w="1082"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80"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79"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2"/>
                <w:szCs w:val="22"/>
                <w:highlight w:val="none"/>
              </w:rPr>
            </w:pPr>
          </w:p>
        </w:tc>
        <w:tc>
          <w:tcPr>
            <w:tcW w:w="1082"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80"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79"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2"/>
                <w:szCs w:val="22"/>
                <w:highlight w:val="none"/>
              </w:rPr>
            </w:pPr>
          </w:p>
        </w:tc>
        <w:tc>
          <w:tcPr>
            <w:tcW w:w="1082"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80"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79" w:type="dxa"/>
            <w:noWrap/>
            <w:vAlign w:val="center"/>
          </w:tcPr>
          <w:p>
            <w:pPr>
              <w:spacing w:line="480" w:lineRule="exact"/>
              <w:jc w:val="center"/>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auto"/>
                <w:sz w:val="22"/>
                <w:szCs w:val="22"/>
                <w:highlight w:val="none"/>
              </w:rPr>
            </w:pPr>
          </w:p>
        </w:tc>
        <w:tc>
          <w:tcPr>
            <w:tcW w:w="1082"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80" w:type="dxa"/>
            <w:noWrap/>
            <w:vAlign w:val="center"/>
          </w:tcPr>
          <w:p>
            <w:pPr>
              <w:spacing w:line="480" w:lineRule="exact"/>
              <w:jc w:val="center"/>
              <w:rPr>
                <w:rFonts w:ascii="宋体" w:hAnsi="宋体"/>
                <w:color w:val="auto"/>
                <w:sz w:val="22"/>
                <w:szCs w:val="22"/>
                <w:highlight w:val="none"/>
              </w:rPr>
            </w:pPr>
          </w:p>
        </w:tc>
        <w:tc>
          <w:tcPr>
            <w:tcW w:w="2519" w:type="dxa"/>
            <w:noWrap/>
            <w:vAlign w:val="center"/>
          </w:tcPr>
          <w:p>
            <w:pPr>
              <w:spacing w:line="480" w:lineRule="exact"/>
              <w:jc w:val="center"/>
              <w:rPr>
                <w:rFonts w:ascii="宋体" w:hAnsi="宋体"/>
                <w:color w:val="auto"/>
                <w:sz w:val="22"/>
                <w:szCs w:val="22"/>
                <w:highlight w:val="none"/>
              </w:rPr>
            </w:pPr>
          </w:p>
        </w:tc>
        <w:tc>
          <w:tcPr>
            <w:tcW w:w="1079" w:type="dxa"/>
            <w:noWrap/>
            <w:vAlign w:val="center"/>
          </w:tcPr>
          <w:p>
            <w:pPr>
              <w:spacing w:line="480" w:lineRule="exact"/>
              <w:jc w:val="center"/>
              <w:rPr>
                <w:rFonts w:ascii="宋体" w:hAnsi="宋体"/>
                <w:color w:val="auto"/>
                <w:sz w:val="22"/>
                <w:szCs w:val="22"/>
                <w:highlight w:val="none"/>
              </w:rPr>
            </w:pPr>
          </w:p>
        </w:tc>
      </w:tr>
    </w:tbl>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spacing w:line="480" w:lineRule="exact"/>
        <w:ind w:firstLine="140" w:firstLineChars="50"/>
        <w:rPr>
          <w:rFonts w:ascii="宋体" w:hAnsi="宋体"/>
          <w:color w:val="auto"/>
          <w:sz w:val="28"/>
          <w:szCs w:val="21"/>
          <w:highlight w:val="none"/>
        </w:rPr>
      </w:pPr>
      <w:r>
        <w:rPr>
          <w:rFonts w:hint="eastAsia" w:ascii="宋体" w:hAnsi="宋体"/>
          <w:color w:val="auto"/>
          <w:sz w:val="28"/>
          <w:szCs w:val="21"/>
          <w:highlight w:val="none"/>
        </w:rPr>
        <w:t>供应商：（公章）</w:t>
      </w:r>
    </w:p>
    <w:p>
      <w:pPr>
        <w:spacing w:line="480" w:lineRule="exact"/>
        <w:ind w:firstLine="140" w:firstLineChars="50"/>
        <w:rPr>
          <w:rFonts w:ascii="宋体" w:hAnsi="宋体"/>
          <w:color w:val="auto"/>
          <w:sz w:val="28"/>
          <w:szCs w:val="21"/>
          <w:highlight w:val="none"/>
        </w:rPr>
      </w:pPr>
      <w:r>
        <w:rPr>
          <w:rFonts w:hint="eastAsia" w:ascii="宋体" w:hAnsi="宋体"/>
          <w:color w:val="auto"/>
          <w:sz w:val="28"/>
          <w:szCs w:val="21"/>
          <w:highlight w:val="none"/>
        </w:rPr>
        <w:t>法定代表人或供应商全权代表：（签字或印章）</w:t>
      </w:r>
    </w:p>
    <w:p>
      <w:pPr>
        <w:spacing w:line="480" w:lineRule="exact"/>
        <w:ind w:firstLine="8260" w:firstLineChars="2950"/>
        <w:rPr>
          <w:rFonts w:ascii="宋体" w:hAnsi="宋体"/>
          <w:color w:val="auto"/>
          <w:sz w:val="28"/>
          <w:szCs w:val="21"/>
          <w:highlight w:val="none"/>
        </w:rPr>
      </w:pPr>
    </w:p>
    <w:p>
      <w:pPr>
        <w:spacing w:line="480" w:lineRule="exact"/>
        <w:jc w:val="right"/>
        <w:rPr>
          <w:rFonts w:ascii="宋体" w:hAnsi="宋体"/>
          <w:color w:val="auto"/>
          <w:sz w:val="28"/>
          <w:szCs w:val="21"/>
          <w:highlight w:val="none"/>
        </w:rPr>
      </w:pPr>
      <w:r>
        <w:rPr>
          <w:rFonts w:hint="eastAsia" w:ascii="宋体" w:hAnsi="宋体"/>
          <w:color w:val="auto"/>
          <w:sz w:val="28"/>
          <w:szCs w:val="21"/>
          <w:highlight w:val="none"/>
        </w:rPr>
        <w:t>年  月  日</w:t>
      </w: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r>
        <w:rPr>
          <w:rFonts w:ascii="宋体" w:hAnsi="宋体"/>
          <w:color w:val="auto"/>
          <w:sz w:val="28"/>
          <w:szCs w:val="21"/>
          <w:highlight w:val="none"/>
        </w:rPr>
        <w:t>附件十</w:t>
      </w:r>
      <w:r>
        <w:rPr>
          <w:rFonts w:hint="eastAsia" w:ascii="宋体" w:hAnsi="宋体"/>
          <w:color w:val="auto"/>
          <w:sz w:val="28"/>
          <w:szCs w:val="21"/>
          <w:highlight w:val="none"/>
        </w:rPr>
        <w:t>一：</w:t>
      </w:r>
    </w:p>
    <w:p>
      <w:pPr>
        <w:spacing w:line="480" w:lineRule="exact"/>
        <w:ind w:firstLine="3855" w:firstLineChars="1200"/>
        <w:jc w:val="left"/>
        <w:rPr>
          <w:rFonts w:ascii="宋体" w:hAnsi="宋体"/>
          <w:b/>
          <w:color w:val="auto"/>
          <w:sz w:val="32"/>
          <w:szCs w:val="32"/>
          <w:highlight w:val="none"/>
        </w:rPr>
      </w:pPr>
      <w:r>
        <w:rPr>
          <w:rFonts w:hint="eastAsia" w:ascii="宋体" w:hAnsi="宋体"/>
          <w:b/>
          <w:color w:val="auto"/>
          <w:sz w:val="32"/>
          <w:szCs w:val="32"/>
          <w:highlight w:val="none"/>
        </w:rPr>
        <w:t>中小微企业声明函</w:t>
      </w:r>
    </w:p>
    <w:p>
      <w:pPr>
        <w:spacing w:line="480" w:lineRule="exact"/>
        <w:ind w:firstLine="1120" w:firstLineChars="400"/>
        <w:jc w:val="left"/>
        <w:rPr>
          <w:rFonts w:ascii="宋体" w:hAnsi="宋体"/>
          <w:color w:val="auto"/>
          <w:sz w:val="28"/>
          <w:szCs w:val="21"/>
          <w:highlight w:val="none"/>
        </w:rPr>
      </w:pP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本公司郑重声明，根据《政府采购促进中小企业发展暂行办法》（财库</w:t>
      </w:r>
      <w:r>
        <w:rPr>
          <w:rFonts w:ascii="宋体" w:hAnsi="宋体"/>
          <w:color w:val="auto"/>
          <w:sz w:val="28"/>
          <w:szCs w:val="21"/>
          <w:highlight w:val="none"/>
        </w:rPr>
        <w:t>[2011]181</w:t>
      </w:r>
      <w:r>
        <w:rPr>
          <w:rFonts w:hint="eastAsia" w:ascii="宋体" w:hAnsi="宋体"/>
          <w:color w:val="auto"/>
          <w:sz w:val="28"/>
          <w:szCs w:val="21"/>
          <w:highlight w:val="none"/>
        </w:rPr>
        <w:t>号）的规定，本公司为</w:t>
      </w:r>
      <w:r>
        <w:rPr>
          <w:rFonts w:ascii="宋体" w:hAnsi="宋体"/>
          <w:color w:val="auto"/>
          <w:sz w:val="28"/>
          <w:szCs w:val="21"/>
          <w:highlight w:val="none"/>
        </w:rPr>
        <w:t>______</w:t>
      </w:r>
      <w:r>
        <w:rPr>
          <w:rFonts w:hint="eastAsia" w:ascii="宋体" w:hAnsi="宋体"/>
          <w:color w:val="auto"/>
          <w:sz w:val="28"/>
          <w:szCs w:val="21"/>
          <w:highlight w:val="none"/>
        </w:rPr>
        <w:t>（请填写：中型、小型、微型）企业。即，本公司同时满足以下条件：</w:t>
      </w:r>
    </w:p>
    <w:p>
      <w:pPr>
        <w:spacing w:line="480" w:lineRule="exact"/>
        <w:ind w:firstLine="560" w:firstLineChars="200"/>
        <w:rPr>
          <w:rFonts w:ascii="宋体" w:hAnsi="宋体"/>
          <w:color w:val="auto"/>
          <w:sz w:val="28"/>
          <w:szCs w:val="21"/>
          <w:highlight w:val="none"/>
        </w:rPr>
      </w:pPr>
      <w:r>
        <w:rPr>
          <w:rFonts w:ascii="宋体" w:hAnsi="宋体"/>
          <w:color w:val="auto"/>
          <w:sz w:val="28"/>
          <w:szCs w:val="21"/>
          <w:highlight w:val="none"/>
        </w:rPr>
        <w:t>1.</w:t>
      </w:r>
      <w:r>
        <w:rPr>
          <w:rFonts w:hint="eastAsia" w:ascii="宋体" w:hAnsi="宋体"/>
          <w:color w:val="auto"/>
          <w:sz w:val="28"/>
          <w:szCs w:val="21"/>
          <w:highlight w:val="none"/>
        </w:rPr>
        <w:t>根据《工业和信息化部、国家统计局、国家发展和改革委员会、财政部关于印发中小企业划型标准规定的通知》（工信部联企业</w:t>
      </w:r>
      <w:r>
        <w:rPr>
          <w:rFonts w:ascii="宋体" w:hAnsi="宋体"/>
          <w:color w:val="auto"/>
          <w:sz w:val="28"/>
          <w:szCs w:val="21"/>
          <w:highlight w:val="none"/>
        </w:rPr>
        <w:t>[2011]300</w:t>
      </w:r>
      <w:r>
        <w:rPr>
          <w:rFonts w:hint="eastAsia" w:ascii="宋体" w:hAnsi="宋体"/>
          <w:color w:val="auto"/>
          <w:sz w:val="28"/>
          <w:szCs w:val="21"/>
          <w:highlight w:val="none"/>
        </w:rPr>
        <w:t>号）规定的划分标准：第四条第</w:t>
      </w:r>
      <w:r>
        <w:rPr>
          <w:rFonts w:ascii="宋体" w:hAnsi="宋体"/>
          <w:color w:val="auto"/>
          <w:sz w:val="28"/>
          <w:szCs w:val="21"/>
          <w:highlight w:val="none"/>
        </w:rPr>
        <w:t>______</w:t>
      </w:r>
      <w:r>
        <w:rPr>
          <w:rFonts w:hint="eastAsia" w:ascii="宋体" w:hAnsi="宋体"/>
          <w:color w:val="auto"/>
          <w:sz w:val="28"/>
          <w:szCs w:val="21"/>
          <w:highlight w:val="none"/>
        </w:rPr>
        <w:t>项</w:t>
      </w:r>
      <w:r>
        <w:rPr>
          <w:rFonts w:ascii="宋体" w:hAnsi="宋体"/>
          <w:color w:val="auto"/>
          <w:sz w:val="28"/>
          <w:szCs w:val="21"/>
          <w:highlight w:val="none"/>
        </w:rPr>
        <w:t>______</w:t>
      </w:r>
      <w:r>
        <w:rPr>
          <w:rFonts w:hint="eastAsia" w:ascii="宋体" w:hAnsi="宋体"/>
          <w:color w:val="auto"/>
          <w:sz w:val="28"/>
          <w:szCs w:val="21"/>
          <w:highlight w:val="none"/>
        </w:rPr>
        <w:t>行业，本公司（此处填写从业人员或营业收入的具体数据），为</w:t>
      </w:r>
      <w:r>
        <w:rPr>
          <w:rFonts w:ascii="宋体" w:hAnsi="宋体"/>
          <w:color w:val="auto"/>
          <w:sz w:val="28"/>
          <w:szCs w:val="21"/>
          <w:highlight w:val="none"/>
        </w:rPr>
        <w:t>______</w:t>
      </w:r>
      <w:r>
        <w:rPr>
          <w:rFonts w:hint="eastAsia" w:ascii="宋体" w:hAnsi="宋体"/>
          <w:color w:val="auto"/>
          <w:sz w:val="28"/>
          <w:szCs w:val="21"/>
          <w:highlight w:val="none"/>
        </w:rPr>
        <w:t>（请填写：中型、小型、微型）企业。</w:t>
      </w:r>
    </w:p>
    <w:p>
      <w:pPr>
        <w:spacing w:line="480" w:lineRule="exact"/>
        <w:ind w:firstLine="560" w:firstLineChars="200"/>
        <w:rPr>
          <w:rFonts w:ascii="宋体" w:hAnsi="宋体"/>
          <w:color w:val="auto"/>
          <w:sz w:val="28"/>
          <w:szCs w:val="21"/>
          <w:highlight w:val="none"/>
        </w:rPr>
      </w:pPr>
      <w:r>
        <w:rPr>
          <w:rFonts w:ascii="宋体" w:hAnsi="宋体"/>
          <w:color w:val="auto"/>
          <w:sz w:val="28"/>
          <w:szCs w:val="21"/>
          <w:highlight w:val="none"/>
        </w:rPr>
        <w:t>2.</w:t>
      </w:r>
      <w:r>
        <w:rPr>
          <w:rFonts w:hint="eastAsia" w:ascii="宋体" w:hAnsi="宋体"/>
          <w:color w:val="auto"/>
          <w:sz w:val="28"/>
          <w:szCs w:val="21"/>
          <w:highlight w:val="none"/>
        </w:rPr>
        <w:t>本公司参加山东华方项目管理有限公司组织的项目（采购编号：）采购活动提供本企业制造的货物，由本企业承担工程、提供服务，或者提供其他</w:t>
      </w:r>
      <w:r>
        <w:rPr>
          <w:rFonts w:ascii="宋体" w:hAnsi="宋体"/>
          <w:color w:val="auto"/>
          <w:sz w:val="28"/>
          <w:szCs w:val="21"/>
          <w:highlight w:val="none"/>
        </w:rPr>
        <w:t>______</w:t>
      </w:r>
      <w:r>
        <w:rPr>
          <w:rFonts w:hint="eastAsia" w:ascii="宋体" w:hAnsi="宋体"/>
          <w:color w:val="auto"/>
          <w:sz w:val="28"/>
          <w:szCs w:val="21"/>
          <w:highlight w:val="none"/>
        </w:rPr>
        <w:t>（请填写：中型、小型、微型）企业制造的货物。本条所称货物不包括使用大型企业注册商标的货物。</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本公司对上述声明的真实性负责。如有虚假，将依法承担相应责任。</w:t>
      </w:r>
    </w:p>
    <w:p>
      <w:pPr>
        <w:spacing w:line="480" w:lineRule="exact"/>
        <w:ind w:firstLine="2800" w:firstLineChars="1000"/>
        <w:rPr>
          <w:rFonts w:ascii="宋体" w:hAnsi="宋体"/>
          <w:color w:val="auto"/>
          <w:sz w:val="28"/>
          <w:szCs w:val="21"/>
          <w:highlight w:val="none"/>
        </w:rPr>
      </w:pPr>
    </w:p>
    <w:p>
      <w:pPr>
        <w:spacing w:line="480" w:lineRule="exact"/>
        <w:ind w:firstLine="5180" w:firstLineChars="1850"/>
        <w:rPr>
          <w:rFonts w:ascii="宋体" w:hAnsi="宋体"/>
          <w:color w:val="auto"/>
          <w:sz w:val="28"/>
          <w:szCs w:val="21"/>
          <w:highlight w:val="none"/>
        </w:rPr>
      </w:pPr>
      <w:r>
        <w:rPr>
          <w:rFonts w:hint="eastAsia" w:ascii="宋体" w:hAnsi="宋体"/>
          <w:color w:val="auto"/>
          <w:sz w:val="28"/>
          <w:szCs w:val="21"/>
          <w:highlight w:val="none"/>
        </w:rPr>
        <w:t>企业名称（单位公章）：</w:t>
      </w:r>
    </w:p>
    <w:p>
      <w:pPr>
        <w:spacing w:line="480" w:lineRule="exact"/>
        <w:ind w:firstLine="5180" w:firstLineChars="1850"/>
        <w:rPr>
          <w:rFonts w:ascii="宋体" w:hAnsi="宋体"/>
          <w:color w:val="auto"/>
          <w:sz w:val="28"/>
          <w:szCs w:val="21"/>
          <w:highlight w:val="none"/>
        </w:rPr>
      </w:pPr>
      <w:r>
        <w:rPr>
          <w:rFonts w:hint="eastAsia" w:ascii="宋体" w:hAnsi="宋体"/>
          <w:color w:val="auto"/>
          <w:sz w:val="28"/>
          <w:szCs w:val="21"/>
          <w:highlight w:val="none"/>
        </w:rPr>
        <w:t>日期：  年  月     日</w:t>
      </w:r>
    </w:p>
    <w:p>
      <w:pPr>
        <w:spacing w:line="480" w:lineRule="exact"/>
        <w:ind w:firstLine="560" w:firstLineChars="200"/>
        <w:rPr>
          <w:rFonts w:ascii="宋体" w:hAnsi="宋体"/>
          <w:color w:val="auto"/>
          <w:sz w:val="28"/>
          <w:szCs w:val="21"/>
          <w:highlight w:val="none"/>
        </w:rPr>
      </w:pPr>
    </w:p>
    <w:p>
      <w:pPr>
        <w:spacing w:line="480" w:lineRule="exact"/>
        <w:ind w:firstLine="560" w:firstLineChars="200"/>
        <w:rPr>
          <w:rFonts w:ascii="宋体" w:hAnsi="宋体"/>
          <w:color w:val="auto"/>
          <w:sz w:val="28"/>
          <w:szCs w:val="21"/>
          <w:highlight w:val="none"/>
        </w:rPr>
      </w:pP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说明：</w:t>
      </w:r>
      <w:r>
        <w:rPr>
          <w:rFonts w:ascii="宋体" w:hAnsi="宋体"/>
          <w:color w:val="auto"/>
          <w:sz w:val="28"/>
          <w:szCs w:val="21"/>
          <w:highlight w:val="none"/>
        </w:rPr>
        <w:t>提供其他中小微企业制造的货物，必须同时提供该中小微企业的声明函。</w:t>
      </w: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pStyle w:val="2"/>
        <w:rPr>
          <w:color w:val="auto"/>
          <w:highlight w:val="none"/>
        </w:rPr>
      </w:pP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p>
    <w:p>
      <w:pPr>
        <w:spacing w:line="480" w:lineRule="exact"/>
        <w:rPr>
          <w:rFonts w:ascii="宋体" w:hAnsi="宋体"/>
          <w:color w:val="auto"/>
          <w:sz w:val="28"/>
          <w:szCs w:val="21"/>
          <w:highlight w:val="none"/>
        </w:rPr>
      </w:pPr>
      <w:r>
        <w:rPr>
          <w:rFonts w:hint="eastAsia" w:ascii="宋体" w:hAnsi="宋体"/>
          <w:color w:val="auto"/>
          <w:sz w:val="28"/>
          <w:szCs w:val="21"/>
          <w:highlight w:val="none"/>
        </w:rPr>
        <w:t>附件十二：</w:t>
      </w:r>
    </w:p>
    <w:p>
      <w:pPr>
        <w:spacing w:line="480" w:lineRule="exact"/>
        <w:rPr>
          <w:rFonts w:ascii="宋体" w:hAnsi="宋体"/>
          <w:color w:val="auto"/>
          <w:sz w:val="28"/>
          <w:szCs w:val="21"/>
          <w:highlight w:val="none"/>
        </w:rPr>
      </w:pPr>
    </w:p>
    <w:p>
      <w:pPr>
        <w:tabs>
          <w:tab w:val="left" w:pos="900"/>
        </w:tabs>
        <w:spacing w:line="480" w:lineRule="exact"/>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 xml:space="preserve"> </w:t>
      </w:r>
      <w:r>
        <w:rPr>
          <w:rFonts w:ascii="宋体" w:hAnsi="宋体"/>
          <w:b/>
          <w:color w:val="auto"/>
          <w:sz w:val="32"/>
          <w:szCs w:val="32"/>
          <w:highlight w:val="none"/>
        </w:rPr>
        <w:t xml:space="preserve">中小微企业声明函（制造商） </w:t>
      </w:r>
    </w:p>
    <w:p>
      <w:pPr>
        <w:tabs>
          <w:tab w:val="left" w:pos="900"/>
        </w:tabs>
        <w:spacing w:line="480" w:lineRule="exact"/>
        <w:jc w:val="center"/>
        <w:rPr>
          <w:rFonts w:ascii="宋体" w:hAnsi="宋体"/>
          <w:b/>
          <w:color w:val="auto"/>
          <w:sz w:val="32"/>
          <w:szCs w:val="32"/>
          <w:highlight w:val="none"/>
        </w:rPr>
      </w:pPr>
    </w:p>
    <w:p>
      <w:pPr>
        <w:spacing w:line="480" w:lineRule="exact"/>
        <w:ind w:firstLine="560" w:firstLineChars="200"/>
        <w:rPr>
          <w:rFonts w:ascii="宋体" w:hAnsi="宋体"/>
          <w:color w:val="auto"/>
          <w:sz w:val="28"/>
          <w:szCs w:val="21"/>
          <w:highlight w:val="none"/>
        </w:rPr>
      </w:pPr>
      <w:r>
        <w:rPr>
          <w:rFonts w:ascii="宋体" w:hAnsi="宋体"/>
          <w:color w:val="auto"/>
          <w:sz w:val="28"/>
          <w:szCs w:val="21"/>
          <w:highlight w:val="none"/>
        </w:rPr>
        <w:t>本公司郑重声明，根据《政府采购促进中小企业发展暂行办法》（财库[2011]181</w:t>
      </w:r>
      <w:r>
        <w:rPr>
          <w:rFonts w:hint="eastAsia" w:ascii="宋体" w:hAnsi="宋体"/>
          <w:color w:val="auto"/>
          <w:sz w:val="28"/>
          <w:szCs w:val="21"/>
          <w:highlight w:val="none"/>
        </w:rPr>
        <w:t>号）的规定和《工业和信息化部、国家统计局、国家发展和改革委员会、财政部关于印发中小企业划型标准规定的通知》（工信部联企业</w:t>
      </w:r>
      <w:r>
        <w:rPr>
          <w:rFonts w:ascii="宋体" w:hAnsi="宋体"/>
          <w:color w:val="auto"/>
          <w:sz w:val="28"/>
          <w:szCs w:val="21"/>
          <w:highlight w:val="none"/>
        </w:rPr>
        <w:t>[2011]300</w:t>
      </w:r>
      <w:r>
        <w:rPr>
          <w:rFonts w:hint="eastAsia" w:ascii="宋体" w:hAnsi="宋体"/>
          <w:color w:val="auto"/>
          <w:sz w:val="28"/>
          <w:szCs w:val="21"/>
          <w:highlight w:val="none"/>
        </w:rPr>
        <w:t>号）规定的划分标准：第四条第</w:t>
      </w:r>
      <w:r>
        <w:rPr>
          <w:rFonts w:ascii="宋体" w:hAnsi="宋体"/>
          <w:color w:val="auto"/>
          <w:sz w:val="28"/>
          <w:szCs w:val="21"/>
          <w:highlight w:val="none"/>
        </w:rPr>
        <w:t>______</w:t>
      </w:r>
      <w:r>
        <w:rPr>
          <w:rFonts w:hint="eastAsia" w:ascii="宋体" w:hAnsi="宋体"/>
          <w:color w:val="auto"/>
          <w:sz w:val="28"/>
          <w:szCs w:val="21"/>
          <w:highlight w:val="none"/>
        </w:rPr>
        <w:t>项</w:t>
      </w:r>
      <w:r>
        <w:rPr>
          <w:rFonts w:ascii="宋体" w:hAnsi="宋体"/>
          <w:color w:val="auto"/>
          <w:sz w:val="28"/>
          <w:szCs w:val="21"/>
          <w:highlight w:val="none"/>
        </w:rPr>
        <w:t>______</w:t>
      </w:r>
      <w:r>
        <w:rPr>
          <w:rFonts w:hint="eastAsia" w:ascii="宋体" w:hAnsi="宋体"/>
          <w:color w:val="auto"/>
          <w:sz w:val="28"/>
          <w:szCs w:val="21"/>
          <w:highlight w:val="none"/>
        </w:rPr>
        <w:t>行业，本公司</w:t>
      </w:r>
      <w:r>
        <w:rPr>
          <w:rFonts w:hint="eastAsia" w:ascii="宋体" w:hAnsi="宋体"/>
          <w:color w:val="auto"/>
          <w:sz w:val="28"/>
          <w:szCs w:val="21"/>
          <w:highlight w:val="none"/>
          <w:u w:val="single"/>
        </w:rPr>
        <w:t>（此处填写营业收入或从业人员的具体数据）</w:t>
      </w:r>
      <w:r>
        <w:rPr>
          <w:rFonts w:hint="eastAsia" w:ascii="宋体" w:hAnsi="宋体"/>
          <w:color w:val="auto"/>
          <w:sz w:val="28"/>
          <w:szCs w:val="21"/>
          <w:highlight w:val="none"/>
        </w:rPr>
        <w:t>，为</w:t>
      </w:r>
      <w:r>
        <w:rPr>
          <w:rFonts w:ascii="宋体" w:hAnsi="宋体"/>
          <w:color w:val="auto"/>
          <w:sz w:val="28"/>
          <w:szCs w:val="21"/>
          <w:highlight w:val="none"/>
        </w:rPr>
        <w:t>______</w:t>
      </w:r>
      <w:r>
        <w:rPr>
          <w:rFonts w:hint="eastAsia" w:ascii="宋体" w:hAnsi="宋体"/>
          <w:color w:val="auto"/>
          <w:sz w:val="28"/>
          <w:szCs w:val="21"/>
          <w:highlight w:val="none"/>
        </w:rPr>
        <w:t>（请填写：中型、小型、微型）企业。</w:t>
      </w:r>
    </w:p>
    <w:p>
      <w:pPr>
        <w:spacing w:line="480" w:lineRule="exact"/>
        <w:ind w:firstLine="560" w:firstLineChars="200"/>
        <w:rPr>
          <w:rFonts w:ascii="宋体" w:hAnsi="宋体"/>
          <w:color w:val="auto"/>
          <w:sz w:val="28"/>
          <w:szCs w:val="21"/>
          <w:highlight w:val="none"/>
        </w:rPr>
      </w:pPr>
      <w:r>
        <w:rPr>
          <w:rFonts w:hint="eastAsia" w:ascii="宋体" w:hAnsi="宋体"/>
          <w:color w:val="auto"/>
          <w:sz w:val="28"/>
          <w:szCs w:val="21"/>
          <w:highlight w:val="none"/>
        </w:rPr>
        <w:t>本公司对上述声明的真实性负责。如有虚假，将依法承担相应责任。</w:t>
      </w:r>
    </w:p>
    <w:p>
      <w:pPr>
        <w:spacing w:line="480" w:lineRule="exact"/>
        <w:ind w:firstLine="5180" w:firstLineChars="1850"/>
        <w:rPr>
          <w:rFonts w:ascii="宋体" w:hAnsi="宋体"/>
          <w:color w:val="auto"/>
          <w:sz w:val="28"/>
          <w:szCs w:val="21"/>
          <w:highlight w:val="none"/>
        </w:rPr>
      </w:pPr>
    </w:p>
    <w:p>
      <w:pPr>
        <w:spacing w:line="480" w:lineRule="exact"/>
        <w:ind w:firstLine="5180" w:firstLineChars="1850"/>
        <w:rPr>
          <w:rFonts w:ascii="宋体" w:hAnsi="宋体"/>
          <w:color w:val="auto"/>
          <w:sz w:val="28"/>
          <w:szCs w:val="21"/>
          <w:highlight w:val="none"/>
        </w:rPr>
      </w:pPr>
    </w:p>
    <w:p>
      <w:pPr>
        <w:spacing w:line="480" w:lineRule="exact"/>
        <w:ind w:firstLine="5880" w:firstLineChars="2100"/>
        <w:rPr>
          <w:rFonts w:ascii="宋体" w:hAnsi="宋体"/>
          <w:color w:val="auto"/>
          <w:sz w:val="28"/>
          <w:szCs w:val="21"/>
          <w:highlight w:val="none"/>
        </w:rPr>
      </w:pPr>
      <w:r>
        <w:rPr>
          <w:rFonts w:hint="eastAsia" w:ascii="宋体" w:hAnsi="宋体"/>
          <w:color w:val="auto"/>
          <w:sz w:val="28"/>
          <w:szCs w:val="21"/>
          <w:highlight w:val="none"/>
        </w:rPr>
        <w:t>企业名称（单位公章）：</w:t>
      </w:r>
    </w:p>
    <w:p>
      <w:pPr>
        <w:spacing w:line="480" w:lineRule="exact"/>
        <w:ind w:firstLine="6300" w:firstLineChars="2250"/>
        <w:rPr>
          <w:rFonts w:ascii="宋体" w:hAnsi="宋体"/>
          <w:color w:val="auto"/>
          <w:sz w:val="28"/>
          <w:szCs w:val="21"/>
          <w:highlight w:val="none"/>
        </w:rPr>
      </w:pPr>
      <w:r>
        <w:rPr>
          <w:rFonts w:hint="eastAsia" w:ascii="宋体" w:hAnsi="宋体"/>
          <w:color w:val="auto"/>
          <w:sz w:val="28"/>
          <w:szCs w:val="21"/>
          <w:highlight w:val="none"/>
        </w:rPr>
        <w:t>日期：年月日</w:t>
      </w:r>
    </w:p>
    <w:p>
      <w:pPr>
        <w:spacing w:line="480" w:lineRule="exact"/>
        <w:ind w:firstLine="6300" w:firstLineChars="2250"/>
        <w:rPr>
          <w:rFonts w:ascii="宋体" w:hAnsi="宋体"/>
          <w:color w:val="auto"/>
          <w:sz w:val="28"/>
          <w:szCs w:val="21"/>
          <w:highlight w:val="none"/>
        </w:rPr>
      </w:pPr>
    </w:p>
    <w:p>
      <w:pPr>
        <w:spacing w:line="480" w:lineRule="exact"/>
        <w:ind w:firstLine="6300" w:firstLineChars="2250"/>
        <w:rPr>
          <w:rFonts w:ascii="宋体" w:hAnsi="宋体"/>
          <w:color w:val="auto"/>
          <w:sz w:val="28"/>
          <w:szCs w:val="21"/>
          <w:highlight w:val="none"/>
        </w:rPr>
      </w:pPr>
    </w:p>
    <w:p>
      <w:pPr>
        <w:spacing w:line="480" w:lineRule="exact"/>
        <w:ind w:firstLine="6300" w:firstLineChars="2250"/>
        <w:rPr>
          <w:rFonts w:ascii="宋体" w:hAnsi="宋体"/>
          <w:color w:val="auto"/>
          <w:sz w:val="28"/>
          <w:szCs w:val="21"/>
          <w:highlight w:val="none"/>
        </w:rPr>
      </w:pPr>
    </w:p>
    <w:p>
      <w:pPr>
        <w:spacing w:line="480" w:lineRule="exact"/>
        <w:ind w:firstLine="6300" w:firstLineChars="2250"/>
        <w:rPr>
          <w:rFonts w:ascii="宋体" w:hAnsi="宋体"/>
          <w:color w:val="auto"/>
          <w:sz w:val="28"/>
          <w:szCs w:val="21"/>
          <w:highlight w:val="none"/>
        </w:rPr>
      </w:pPr>
    </w:p>
    <w:p>
      <w:pPr>
        <w:spacing w:line="480" w:lineRule="exact"/>
        <w:ind w:firstLine="6300" w:firstLineChars="2250"/>
        <w:rPr>
          <w:rFonts w:ascii="宋体" w:hAnsi="宋体"/>
          <w:color w:val="auto"/>
          <w:sz w:val="28"/>
          <w:szCs w:val="21"/>
          <w:highlight w:val="none"/>
        </w:rPr>
      </w:pPr>
    </w:p>
    <w:p>
      <w:pPr>
        <w:spacing w:line="480" w:lineRule="exact"/>
        <w:ind w:firstLine="6300" w:firstLineChars="2250"/>
        <w:rPr>
          <w:rFonts w:ascii="宋体" w:hAnsi="宋体"/>
          <w:color w:val="auto"/>
          <w:sz w:val="28"/>
          <w:szCs w:val="21"/>
          <w:highlight w:val="none"/>
        </w:rPr>
      </w:pPr>
    </w:p>
    <w:p>
      <w:pPr>
        <w:spacing w:line="480" w:lineRule="exact"/>
        <w:ind w:firstLine="6300" w:firstLineChars="2250"/>
        <w:rPr>
          <w:rFonts w:ascii="宋体" w:hAnsi="宋体"/>
          <w:color w:val="auto"/>
          <w:sz w:val="28"/>
          <w:szCs w:val="21"/>
          <w:highlight w:val="none"/>
        </w:rPr>
      </w:pPr>
    </w:p>
    <w:p>
      <w:pPr>
        <w:spacing w:line="480" w:lineRule="exact"/>
        <w:ind w:firstLine="6300" w:firstLineChars="2250"/>
        <w:rPr>
          <w:rFonts w:ascii="宋体" w:hAnsi="宋体"/>
          <w:color w:val="auto"/>
          <w:sz w:val="28"/>
          <w:szCs w:val="21"/>
          <w:highlight w:val="none"/>
        </w:rPr>
      </w:pPr>
    </w:p>
    <w:p>
      <w:pPr>
        <w:spacing w:line="480" w:lineRule="exact"/>
        <w:ind w:firstLine="6300" w:firstLineChars="2250"/>
        <w:rPr>
          <w:rFonts w:ascii="宋体" w:hAnsi="宋体"/>
          <w:color w:val="auto"/>
          <w:sz w:val="28"/>
          <w:szCs w:val="21"/>
          <w:highlight w:val="none"/>
        </w:rPr>
      </w:pPr>
    </w:p>
    <w:p>
      <w:pPr>
        <w:spacing w:line="480" w:lineRule="exact"/>
        <w:ind w:firstLine="6300" w:firstLineChars="2250"/>
        <w:rPr>
          <w:rFonts w:ascii="宋体" w:hAnsi="宋体"/>
          <w:color w:val="auto"/>
          <w:sz w:val="28"/>
          <w:szCs w:val="21"/>
          <w:highlight w:val="none"/>
        </w:rPr>
      </w:pPr>
    </w:p>
    <w:p>
      <w:pPr>
        <w:spacing w:line="480" w:lineRule="exact"/>
        <w:ind w:firstLine="6300" w:firstLineChars="2250"/>
        <w:rPr>
          <w:rFonts w:ascii="宋体" w:hAnsi="宋体"/>
          <w:color w:val="auto"/>
          <w:sz w:val="28"/>
          <w:szCs w:val="21"/>
          <w:highlight w:val="none"/>
        </w:rPr>
      </w:pPr>
    </w:p>
    <w:p>
      <w:pPr>
        <w:spacing w:line="480" w:lineRule="exact"/>
        <w:rPr>
          <w:rFonts w:ascii="宋体" w:hAnsi="宋体"/>
          <w:color w:val="auto"/>
          <w:sz w:val="28"/>
          <w:szCs w:val="21"/>
          <w:highlight w:val="none"/>
        </w:rPr>
      </w:pPr>
    </w:p>
    <w:p>
      <w:pPr>
        <w:pStyle w:val="25"/>
        <w:ind w:firstLine="560"/>
        <w:rPr>
          <w:rFonts w:ascii="宋体" w:hAnsi="宋体"/>
          <w:color w:val="auto"/>
          <w:sz w:val="28"/>
          <w:szCs w:val="21"/>
          <w:highlight w:val="none"/>
        </w:rPr>
      </w:pPr>
    </w:p>
    <w:p>
      <w:pPr>
        <w:pStyle w:val="25"/>
        <w:ind w:firstLine="560"/>
        <w:rPr>
          <w:rFonts w:ascii="宋体" w:hAnsi="宋体"/>
          <w:color w:val="auto"/>
          <w:sz w:val="28"/>
          <w:szCs w:val="21"/>
          <w:highlight w:val="none"/>
        </w:rPr>
      </w:pPr>
    </w:p>
    <w:p>
      <w:pPr>
        <w:spacing w:line="500" w:lineRule="exact"/>
        <w:rPr>
          <w:rFonts w:ascii="宋体" w:hAnsi="宋体" w:cs="宋体"/>
          <w:b/>
          <w:color w:val="auto"/>
          <w:sz w:val="28"/>
          <w:szCs w:val="28"/>
          <w:highlight w:val="none"/>
        </w:rPr>
      </w:pPr>
    </w:p>
    <w:p>
      <w:pPr>
        <w:spacing w:line="480" w:lineRule="exact"/>
        <w:rPr>
          <w:rFonts w:ascii="宋体" w:hAnsi="宋体" w:cs="宋体"/>
          <w:b/>
          <w:color w:val="auto"/>
          <w:sz w:val="28"/>
          <w:szCs w:val="28"/>
          <w:highlight w:val="none"/>
        </w:rPr>
      </w:pPr>
      <w:r>
        <w:rPr>
          <w:rFonts w:hint="eastAsia" w:ascii="宋体" w:hAnsi="宋体" w:cs="宋体"/>
          <w:color w:val="auto"/>
          <w:sz w:val="28"/>
          <w:szCs w:val="21"/>
          <w:highlight w:val="none"/>
        </w:rPr>
        <w:t>附件十三：</w:t>
      </w:r>
    </w:p>
    <w:p>
      <w:pPr>
        <w:jc w:val="center"/>
        <w:rPr>
          <w:rStyle w:val="20"/>
          <w:rFonts w:ascii="宋体" w:hAnsi="宋体" w:cs="宋体"/>
          <w:color w:val="auto"/>
          <w:sz w:val="36"/>
          <w:szCs w:val="36"/>
          <w:highlight w:val="none"/>
        </w:rPr>
      </w:pPr>
      <w:r>
        <w:rPr>
          <w:rStyle w:val="20"/>
          <w:rFonts w:hint="eastAsia" w:ascii="宋体" w:hAnsi="宋体" w:cs="宋体"/>
          <w:color w:val="auto"/>
          <w:sz w:val="36"/>
          <w:szCs w:val="36"/>
          <w:highlight w:val="none"/>
        </w:rPr>
        <w:t>环境标志产品投标价格明细表</w:t>
      </w:r>
    </w:p>
    <w:p>
      <w:pPr>
        <w:jc w:val="center"/>
        <w:rPr>
          <w:rFonts w:ascii="宋体" w:hAnsi="宋体" w:cs="宋体"/>
          <w:b/>
          <w:color w:val="auto"/>
          <w:kern w:val="1"/>
          <w:sz w:val="32"/>
          <w:szCs w:val="32"/>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883"/>
        <w:gridCol w:w="1222"/>
        <w:gridCol w:w="1587"/>
        <w:gridCol w:w="930"/>
        <w:gridCol w:w="990"/>
        <w:gridCol w:w="93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r>
              <w:rPr>
                <w:rFonts w:hint="eastAsia" w:ascii="宋体" w:hAnsi="宋体" w:cs="宋体"/>
                <w:color w:val="auto"/>
                <w:sz w:val="28"/>
                <w:szCs w:val="21"/>
                <w:highlight w:val="none"/>
              </w:rPr>
              <w:t>序号</w:t>
            </w: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r>
              <w:rPr>
                <w:rFonts w:hint="eastAsia" w:ascii="宋体" w:hAnsi="宋体" w:cs="宋体"/>
                <w:color w:val="auto"/>
                <w:sz w:val="28"/>
                <w:szCs w:val="21"/>
                <w:highlight w:val="none"/>
              </w:rPr>
              <w:t>环境标志产品名称</w:t>
            </w: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r>
              <w:rPr>
                <w:rFonts w:hint="eastAsia" w:ascii="宋体" w:hAnsi="宋体" w:cs="宋体"/>
                <w:color w:val="auto"/>
                <w:sz w:val="28"/>
                <w:szCs w:val="21"/>
                <w:highlight w:val="none"/>
              </w:rPr>
              <w:t>品牌型号</w:t>
            </w: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r>
              <w:rPr>
                <w:rFonts w:hint="eastAsia" w:ascii="宋体" w:hAnsi="宋体" w:cs="宋体"/>
                <w:color w:val="auto"/>
                <w:sz w:val="28"/>
                <w:szCs w:val="28"/>
                <w:highlight w:val="none"/>
              </w:rPr>
              <w:t>认证证书有效截止日期</w:t>
            </w:r>
          </w:p>
        </w:tc>
        <w:tc>
          <w:tcPr>
            <w:tcW w:w="9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r>
              <w:rPr>
                <w:rFonts w:hint="eastAsia" w:ascii="宋体" w:hAnsi="宋体" w:cs="宋体"/>
                <w:color w:val="auto"/>
                <w:sz w:val="28"/>
                <w:szCs w:val="21"/>
                <w:highlight w:val="none"/>
              </w:rPr>
              <w:t>数量</w:t>
            </w:r>
          </w:p>
        </w:tc>
        <w:tc>
          <w:tcPr>
            <w:tcW w:w="9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r>
              <w:rPr>
                <w:rFonts w:hint="eastAsia" w:ascii="宋体" w:hAnsi="宋体" w:cs="宋体"/>
                <w:color w:val="auto"/>
                <w:sz w:val="28"/>
                <w:szCs w:val="21"/>
                <w:highlight w:val="none"/>
              </w:rPr>
              <w:t>单价</w:t>
            </w:r>
          </w:p>
        </w:tc>
        <w:tc>
          <w:tcPr>
            <w:tcW w:w="9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1"/>
                <w:highlight w:val="none"/>
              </w:rPr>
            </w:pPr>
            <w:r>
              <w:rPr>
                <w:rFonts w:hint="eastAsia" w:ascii="宋体" w:hAnsi="宋体" w:cs="宋体"/>
                <w:color w:val="auto"/>
                <w:sz w:val="28"/>
                <w:szCs w:val="21"/>
                <w:highlight w:val="none"/>
              </w:rPr>
              <w:t>合价</w:t>
            </w:r>
          </w:p>
        </w:tc>
        <w:tc>
          <w:tcPr>
            <w:tcW w:w="17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1"/>
                <w:highlight w:val="none"/>
              </w:rPr>
            </w:pPr>
            <w:r>
              <w:rPr>
                <w:rFonts w:hint="eastAsia" w:ascii="宋体" w:hAnsi="宋体" w:cs="宋体"/>
                <w:color w:val="auto"/>
                <w:sz w:val="28"/>
                <w:szCs w:val="21"/>
                <w:highlight w:val="none"/>
              </w:rPr>
              <w:t>在本次投标报价中所占比例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auto"/>
                <w:sz w:val="28"/>
                <w:szCs w:val="28"/>
                <w:highlight w:val="none"/>
              </w:rPr>
            </w:pPr>
          </w:p>
        </w:tc>
        <w:tc>
          <w:tcPr>
            <w:tcW w:w="990"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auto"/>
                <w:sz w:val="28"/>
                <w:szCs w:val="28"/>
                <w:highlight w:val="none"/>
              </w:rPr>
            </w:pPr>
          </w:p>
        </w:tc>
        <w:tc>
          <w:tcPr>
            <w:tcW w:w="939"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auto"/>
                <w:sz w:val="28"/>
                <w:szCs w:val="28"/>
                <w:highlight w:val="none"/>
              </w:rPr>
            </w:pPr>
          </w:p>
        </w:tc>
        <w:tc>
          <w:tcPr>
            <w:tcW w:w="1797"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auto"/>
                <w:sz w:val="28"/>
                <w:szCs w:val="28"/>
                <w:highlight w:val="none"/>
              </w:rPr>
            </w:pPr>
          </w:p>
        </w:tc>
        <w:tc>
          <w:tcPr>
            <w:tcW w:w="990"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auto"/>
                <w:sz w:val="28"/>
                <w:szCs w:val="28"/>
                <w:highlight w:val="none"/>
              </w:rPr>
            </w:pPr>
          </w:p>
        </w:tc>
        <w:tc>
          <w:tcPr>
            <w:tcW w:w="939"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auto"/>
                <w:sz w:val="28"/>
                <w:szCs w:val="28"/>
                <w:highlight w:val="none"/>
              </w:rPr>
            </w:pPr>
          </w:p>
        </w:tc>
        <w:tc>
          <w:tcPr>
            <w:tcW w:w="1797"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9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9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7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9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9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c>
          <w:tcPr>
            <w:tcW w:w="17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4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r>
              <w:rPr>
                <w:rFonts w:hint="eastAsia" w:ascii="宋体" w:hAnsi="宋体" w:cs="宋体"/>
                <w:color w:val="auto"/>
                <w:sz w:val="28"/>
                <w:szCs w:val="21"/>
                <w:highlight w:val="none"/>
              </w:rPr>
              <w:t>总合计</w:t>
            </w:r>
          </w:p>
        </w:tc>
        <w:tc>
          <w:tcPr>
            <w:tcW w:w="746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auto"/>
                <w:sz w:val="28"/>
                <w:szCs w:val="28"/>
                <w:highlight w:val="none"/>
              </w:rPr>
            </w:pPr>
          </w:p>
        </w:tc>
      </w:tr>
    </w:tbl>
    <w:p>
      <w:pPr>
        <w:spacing w:line="360" w:lineRule="auto"/>
        <w:rPr>
          <w:rFonts w:ascii="宋体" w:hAnsi="宋体" w:cs="宋体"/>
          <w:color w:val="auto"/>
          <w:sz w:val="28"/>
          <w:szCs w:val="21"/>
          <w:highlight w:val="none"/>
        </w:rPr>
      </w:pPr>
      <w:r>
        <w:rPr>
          <w:rFonts w:hint="eastAsia" w:ascii="宋体" w:hAnsi="宋体" w:cs="宋体"/>
          <w:color w:val="auto"/>
          <w:sz w:val="28"/>
          <w:szCs w:val="21"/>
          <w:highlight w:val="none"/>
        </w:rPr>
        <w:t>说明：1、环保产品是指中国政府采购网发布的最新《环保产品政府采购清单》目录内的产品，并附截图。</w:t>
      </w:r>
    </w:p>
    <w:p>
      <w:pPr>
        <w:spacing w:line="360" w:lineRule="auto"/>
        <w:rPr>
          <w:rFonts w:ascii="宋体" w:hAnsi="宋体" w:cs="宋体"/>
          <w:color w:val="auto"/>
          <w:sz w:val="28"/>
          <w:szCs w:val="21"/>
          <w:highlight w:val="none"/>
        </w:rPr>
      </w:pPr>
      <w:r>
        <w:rPr>
          <w:rFonts w:hint="eastAsia" w:ascii="宋体" w:hAnsi="宋体" w:cs="宋体"/>
          <w:color w:val="auto"/>
          <w:sz w:val="28"/>
          <w:szCs w:val="21"/>
          <w:highlight w:val="none"/>
        </w:rPr>
        <w:t>2、如所投产品为环境标志产品，必须按规定格式逐项填写。如所投产品不是环保产品，则不需填写本表。</w:t>
      </w:r>
    </w:p>
    <w:p>
      <w:pPr>
        <w:pStyle w:val="5"/>
        <w:spacing w:beforeLines="50" w:afterLines="50" w:line="360" w:lineRule="auto"/>
        <w:ind w:firstLine="0" w:firstLineChars="0"/>
        <w:rPr>
          <w:rFonts w:ascii="宋体" w:hAnsi="宋体" w:cs="宋体"/>
          <w:b/>
          <w:color w:val="auto"/>
          <w:sz w:val="28"/>
          <w:szCs w:val="21"/>
          <w:highlight w:val="none"/>
        </w:rPr>
      </w:pPr>
    </w:p>
    <w:p>
      <w:pPr>
        <w:pStyle w:val="5"/>
        <w:spacing w:beforeLines="50" w:afterLines="50" w:line="360" w:lineRule="auto"/>
        <w:ind w:firstLine="0" w:firstLineChars="0"/>
        <w:rPr>
          <w:rFonts w:ascii="宋体" w:hAnsi="宋体" w:cs="宋体"/>
          <w:b/>
          <w:color w:val="auto"/>
          <w:sz w:val="28"/>
          <w:szCs w:val="21"/>
          <w:highlight w:val="none"/>
        </w:rPr>
      </w:pPr>
    </w:p>
    <w:p>
      <w:pPr>
        <w:pStyle w:val="5"/>
        <w:spacing w:beforeLines="50" w:afterLines="50" w:line="360" w:lineRule="auto"/>
        <w:ind w:firstLine="0" w:firstLineChars="0"/>
        <w:rPr>
          <w:rFonts w:ascii="宋体" w:hAnsi="宋体" w:cs="宋体"/>
          <w:b/>
          <w:color w:val="auto"/>
          <w:sz w:val="28"/>
          <w:szCs w:val="21"/>
          <w:highlight w:val="none"/>
        </w:rPr>
      </w:pPr>
    </w:p>
    <w:p>
      <w:pPr>
        <w:spacing w:line="360" w:lineRule="auto"/>
        <w:ind w:firstLine="480"/>
        <w:rPr>
          <w:rFonts w:ascii="宋体" w:hAnsi="宋体" w:cs="宋体"/>
          <w:color w:val="auto"/>
          <w:sz w:val="28"/>
          <w:szCs w:val="21"/>
          <w:highlight w:val="none"/>
        </w:rPr>
      </w:pPr>
      <w:r>
        <w:rPr>
          <w:rFonts w:hint="eastAsia" w:ascii="宋体" w:hAnsi="宋体" w:cs="宋体"/>
          <w:color w:val="auto"/>
          <w:sz w:val="28"/>
          <w:szCs w:val="21"/>
          <w:highlight w:val="none"/>
        </w:rPr>
        <w:t>供应商（公章）：</w:t>
      </w:r>
    </w:p>
    <w:p>
      <w:pPr>
        <w:spacing w:line="360" w:lineRule="auto"/>
        <w:ind w:firstLine="280" w:firstLineChars="100"/>
        <w:rPr>
          <w:rFonts w:ascii="宋体" w:hAnsi="宋体" w:cs="宋体"/>
          <w:color w:val="auto"/>
          <w:sz w:val="32"/>
          <w:szCs w:val="32"/>
          <w:highlight w:val="none"/>
        </w:rPr>
      </w:pPr>
      <w:r>
        <w:rPr>
          <w:rFonts w:hint="eastAsia" w:ascii="宋体" w:hAnsi="宋体" w:cs="宋体"/>
          <w:color w:val="auto"/>
          <w:sz w:val="28"/>
          <w:szCs w:val="21"/>
          <w:highlight w:val="none"/>
        </w:rPr>
        <w:t xml:space="preserve">  法定代表人或供应商全权代表：（签字或印章）</w:t>
      </w:r>
    </w:p>
    <w:p>
      <w:pPr>
        <w:spacing w:line="360" w:lineRule="auto"/>
        <w:jc w:val="right"/>
        <w:rPr>
          <w:rFonts w:ascii="宋体" w:hAnsi="宋体" w:cs="宋体"/>
          <w:color w:val="auto"/>
          <w:sz w:val="32"/>
          <w:szCs w:val="32"/>
          <w:highlight w:val="none"/>
        </w:rPr>
      </w:pPr>
    </w:p>
    <w:p>
      <w:pPr>
        <w:spacing w:line="360" w:lineRule="auto"/>
        <w:jc w:val="right"/>
        <w:rPr>
          <w:rFonts w:ascii="宋体" w:hAnsi="宋体" w:cs="宋体"/>
          <w:color w:val="auto"/>
          <w:kern w:val="1"/>
          <w:sz w:val="28"/>
          <w:szCs w:val="28"/>
          <w:highlight w:val="none"/>
        </w:rPr>
      </w:pPr>
      <w:r>
        <w:rPr>
          <w:rFonts w:hint="eastAsia" w:ascii="宋体" w:hAnsi="宋体" w:cs="宋体"/>
          <w:color w:val="auto"/>
          <w:sz w:val="28"/>
          <w:szCs w:val="21"/>
          <w:highlight w:val="none"/>
        </w:rPr>
        <w:t>年   月   日</w:t>
      </w:r>
    </w:p>
    <w:p>
      <w:pPr>
        <w:rPr>
          <w:rFonts w:ascii="宋体" w:hAnsi="宋体" w:cs="宋体"/>
          <w:color w:val="auto"/>
          <w:sz w:val="28"/>
          <w:szCs w:val="21"/>
          <w:highlight w:val="none"/>
        </w:rPr>
      </w:pPr>
      <w:r>
        <w:rPr>
          <w:rFonts w:hint="eastAsia" w:ascii="宋体" w:hAnsi="宋体" w:cs="宋体"/>
          <w:color w:val="auto"/>
          <w:sz w:val="28"/>
          <w:szCs w:val="21"/>
          <w:highlight w:val="none"/>
        </w:rPr>
        <w:t>附件十四：</w:t>
      </w:r>
    </w:p>
    <w:p>
      <w:pPr>
        <w:jc w:val="center"/>
        <w:rPr>
          <w:rStyle w:val="20"/>
          <w:rFonts w:ascii="宋体" w:hAnsi="宋体" w:cs="宋体"/>
          <w:color w:val="auto"/>
          <w:sz w:val="36"/>
          <w:szCs w:val="36"/>
          <w:highlight w:val="none"/>
        </w:rPr>
      </w:pPr>
      <w:r>
        <w:rPr>
          <w:rStyle w:val="20"/>
          <w:rFonts w:hint="eastAsia" w:ascii="宋体" w:hAnsi="宋体" w:cs="宋体"/>
          <w:color w:val="auto"/>
          <w:sz w:val="36"/>
          <w:szCs w:val="36"/>
          <w:highlight w:val="none"/>
        </w:rPr>
        <w:t>残疾人福利性单位声明函</w:t>
      </w:r>
    </w:p>
    <w:p>
      <w:pPr>
        <w:spacing w:line="360" w:lineRule="auto"/>
        <w:ind w:firstLine="584" w:firstLineChars="200"/>
        <w:rPr>
          <w:rFonts w:ascii="宋体" w:hAnsi="宋体" w:cs="宋体"/>
          <w:color w:val="auto"/>
          <w:spacing w:val="6"/>
          <w:sz w:val="28"/>
          <w:szCs w:val="21"/>
          <w:highlight w:val="none"/>
        </w:rPr>
      </w:pPr>
    </w:p>
    <w:p>
      <w:pPr>
        <w:spacing w:line="360" w:lineRule="auto"/>
        <w:ind w:firstLine="584" w:firstLineChars="200"/>
        <w:rPr>
          <w:rFonts w:ascii="宋体" w:hAnsi="宋体" w:cs="宋体"/>
          <w:color w:val="auto"/>
          <w:spacing w:val="6"/>
          <w:sz w:val="28"/>
          <w:szCs w:val="21"/>
          <w:highlight w:val="none"/>
        </w:rPr>
      </w:pPr>
      <w:r>
        <w:rPr>
          <w:rFonts w:hint="eastAsia" w:ascii="宋体" w:hAnsi="宋体" w:cs="宋体"/>
          <w:color w:val="auto"/>
          <w:spacing w:val="6"/>
          <w:sz w:val="28"/>
          <w:szCs w:val="21"/>
          <w:highlight w:val="none"/>
        </w:rPr>
        <w:t>本单位郑重声明，根据《财政部 民政部 中国残疾人联合会关于促进残疾人就业政府采购政策的通知》（财库</w:t>
      </w:r>
      <w:r>
        <w:rPr>
          <w:rFonts w:hint="eastAsia" w:ascii="宋体" w:hAnsi="宋体" w:cs="宋体"/>
          <w:color w:val="auto"/>
          <w:sz w:val="28"/>
          <w:szCs w:val="21"/>
          <w:highlight w:val="none"/>
        </w:rPr>
        <w:t>〔2017〕 141</w:t>
      </w:r>
      <w:r>
        <w:rPr>
          <w:rFonts w:hint="eastAsia" w:ascii="宋体" w:hAnsi="宋体" w:cs="宋体"/>
          <w:color w:val="auto"/>
          <w:spacing w:val="6"/>
          <w:sz w:val="28"/>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cs="宋体"/>
          <w:color w:val="auto"/>
          <w:spacing w:val="6"/>
          <w:sz w:val="28"/>
          <w:szCs w:val="21"/>
          <w:highlight w:val="none"/>
        </w:rPr>
      </w:pPr>
      <w:r>
        <w:rPr>
          <w:rFonts w:hint="eastAsia" w:ascii="宋体" w:hAnsi="宋体" w:cs="宋体"/>
          <w:color w:val="auto"/>
          <w:spacing w:val="6"/>
          <w:sz w:val="28"/>
          <w:szCs w:val="21"/>
          <w:highlight w:val="none"/>
        </w:rPr>
        <w:t>本单位对上述声明的真实性负责。如有虚假，将依法承担相应责任。</w:t>
      </w:r>
    </w:p>
    <w:p>
      <w:pPr>
        <w:spacing w:line="360" w:lineRule="auto"/>
        <w:ind w:firstLine="584" w:firstLineChars="200"/>
        <w:rPr>
          <w:rFonts w:ascii="宋体" w:hAnsi="宋体" w:cs="宋体"/>
          <w:color w:val="auto"/>
          <w:spacing w:val="6"/>
          <w:sz w:val="28"/>
          <w:szCs w:val="21"/>
          <w:highlight w:val="none"/>
        </w:rPr>
      </w:pPr>
    </w:p>
    <w:p>
      <w:pPr>
        <w:spacing w:line="360" w:lineRule="auto"/>
        <w:ind w:firstLine="584" w:firstLineChars="200"/>
        <w:rPr>
          <w:rFonts w:ascii="宋体" w:hAnsi="宋体" w:cs="宋体"/>
          <w:color w:val="auto"/>
          <w:spacing w:val="6"/>
          <w:sz w:val="28"/>
          <w:szCs w:val="21"/>
          <w:highlight w:val="none"/>
        </w:rPr>
      </w:pPr>
    </w:p>
    <w:p>
      <w:pPr>
        <w:spacing w:line="360" w:lineRule="auto"/>
        <w:ind w:firstLine="584" w:firstLineChars="200"/>
        <w:rPr>
          <w:rFonts w:ascii="宋体" w:hAnsi="宋体" w:cs="宋体"/>
          <w:color w:val="auto"/>
          <w:spacing w:val="6"/>
          <w:sz w:val="28"/>
          <w:szCs w:val="21"/>
          <w:highlight w:val="none"/>
        </w:rPr>
      </w:pPr>
    </w:p>
    <w:p>
      <w:pPr>
        <w:spacing w:line="360" w:lineRule="auto"/>
        <w:ind w:firstLine="584" w:firstLineChars="200"/>
        <w:rPr>
          <w:rFonts w:ascii="宋体" w:hAnsi="宋体" w:cs="宋体"/>
          <w:color w:val="auto"/>
          <w:spacing w:val="6"/>
          <w:sz w:val="28"/>
          <w:szCs w:val="21"/>
          <w:highlight w:val="none"/>
        </w:rPr>
      </w:pPr>
    </w:p>
    <w:p>
      <w:pPr>
        <w:spacing w:line="360" w:lineRule="auto"/>
        <w:rPr>
          <w:rFonts w:ascii="宋体" w:hAnsi="宋体" w:cs="宋体"/>
          <w:color w:val="auto"/>
          <w:spacing w:val="6"/>
          <w:sz w:val="28"/>
          <w:szCs w:val="21"/>
          <w:highlight w:val="none"/>
        </w:rPr>
      </w:pPr>
    </w:p>
    <w:p>
      <w:pPr>
        <w:spacing w:line="360" w:lineRule="auto"/>
        <w:rPr>
          <w:rFonts w:ascii="宋体" w:hAnsi="宋体" w:cs="宋体"/>
          <w:color w:val="auto"/>
          <w:spacing w:val="6"/>
          <w:sz w:val="28"/>
          <w:szCs w:val="21"/>
          <w:highlight w:val="none"/>
        </w:rPr>
      </w:pPr>
    </w:p>
    <w:p>
      <w:pPr>
        <w:spacing w:line="46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供应商（盖章）：</w:t>
      </w:r>
    </w:p>
    <w:p>
      <w:pPr>
        <w:spacing w:line="460" w:lineRule="exact"/>
        <w:ind w:firstLine="560" w:firstLineChars="200"/>
        <w:rPr>
          <w:rFonts w:ascii="宋体" w:hAnsi="宋体" w:cs="宋体"/>
          <w:color w:val="auto"/>
          <w:sz w:val="28"/>
          <w:szCs w:val="21"/>
          <w:highlight w:val="none"/>
        </w:rPr>
      </w:pPr>
    </w:p>
    <w:p>
      <w:pPr>
        <w:spacing w:line="460" w:lineRule="exact"/>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法定代表人或供应商全权代表（签字）：</w:t>
      </w:r>
    </w:p>
    <w:p>
      <w:pPr>
        <w:spacing w:line="460" w:lineRule="exact"/>
        <w:ind w:firstLine="560" w:firstLineChars="200"/>
        <w:rPr>
          <w:rFonts w:ascii="宋体" w:hAnsi="宋体" w:cs="宋体"/>
          <w:color w:val="auto"/>
          <w:sz w:val="28"/>
          <w:szCs w:val="21"/>
          <w:highlight w:val="none"/>
        </w:rPr>
      </w:pPr>
    </w:p>
    <w:p>
      <w:pPr>
        <w:spacing w:line="460" w:lineRule="exact"/>
        <w:ind w:firstLine="560" w:firstLineChars="200"/>
        <w:rPr>
          <w:rFonts w:ascii="宋体" w:hAnsi="宋体" w:cs="宋体"/>
          <w:color w:val="auto"/>
          <w:sz w:val="28"/>
          <w:szCs w:val="21"/>
          <w:highlight w:val="none"/>
        </w:rPr>
      </w:pPr>
    </w:p>
    <w:p>
      <w:pPr>
        <w:spacing w:line="460" w:lineRule="exact"/>
        <w:ind w:firstLine="560" w:firstLineChars="200"/>
        <w:rPr>
          <w:rFonts w:ascii="宋体" w:hAnsi="宋体" w:cs="宋体"/>
          <w:color w:val="auto"/>
          <w:sz w:val="28"/>
          <w:szCs w:val="21"/>
          <w:highlight w:val="none"/>
        </w:rPr>
      </w:pPr>
    </w:p>
    <w:p>
      <w:pPr>
        <w:spacing w:line="460" w:lineRule="exact"/>
        <w:ind w:firstLine="560" w:firstLineChars="200"/>
        <w:rPr>
          <w:rFonts w:ascii="宋体" w:hAnsi="宋体" w:cs="宋体"/>
          <w:color w:val="auto"/>
          <w:sz w:val="28"/>
          <w:szCs w:val="21"/>
          <w:highlight w:val="none"/>
        </w:rPr>
      </w:pPr>
    </w:p>
    <w:p>
      <w:pPr>
        <w:spacing w:line="460" w:lineRule="exact"/>
        <w:ind w:firstLine="560" w:firstLineChars="200"/>
        <w:jc w:val="right"/>
        <w:rPr>
          <w:rFonts w:ascii="宋体" w:hAnsi="宋体" w:cs="宋体"/>
          <w:color w:val="auto"/>
          <w:sz w:val="28"/>
          <w:szCs w:val="21"/>
          <w:highlight w:val="none"/>
        </w:rPr>
      </w:pPr>
    </w:p>
    <w:p>
      <w:pPr>
        <w:spacing w:line="460" w:lineRule="exact"/>
        <w:ind w:firstLine="560" w:firstLineChars="200"/>
        <w:jc w:val="right"/>
        <w:rPr>
          <w:rFonts w:ascii="宋体" w:hAnsi="宋体" w:cs="宋体"/>
          <w:color w:val="auto"/>
          <w:sz w:val="28"/>
          <w:szCs w:val="21"/>
          <w:highlight w:val="none"/>
        </w:rPr>
      </w:pPr>
      <w:r>
        <w:rPr>
          <w:rFonts w:hint="eastAsia" w:ascii="宋体" w:hAnsi="宋体" w:cs="宋体"/>
          <w:color w:val="auto"/>
          <w:sz w:val="28"/>
          <w:szCs w:val="21"/>
          <w:highlight w:val="none"/>
        </w:rPr>
        <w:t xml:space="preserve">    年    月    日</w:t>
      </w:r>
    </w:p>
    <w:p>
      <w:pPr>
        <w:rPr>
          <w:rFonts w:ascii="宋体" w:hAnsi="宋体" w:cs="宋体"/>
          <w:b/>
          <w:bCs/>
          <w:color w:val="auto"/>
          <w:sz w:val="32"/>
          <w:szCs w:val="32"/>
          <w:highlight w:val="none"/>
        </w:rPr>
      </w:pPr>
      <w:r>
        <w:rPr>
          <w:rFonts w:hint="eastAsia" w:ascii="宋体" w:hAnsi="宋体"/>
          <w:color w:val="auto"/>
          <w:sz w:val="28"/>
          <w:szCs w:val="21"/>
          <w:highlight w:val="none"/>
        </w:rPr>
        <w:t>附件十五：</w:t>
      </w:r>
    </w:p>
    <w:p>
      <w:pPr>
        <w:topLinePunct/>
        <w:spacing w:line="500" w:lineRule="exact"/>
        <w:ind w:left="105" w:leftChars="50" w:right="105" w:rightChars="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供应商认为有必要提供的其他资料</w:t>
      </w:r>
    </w:p>
    <w:p>
      <w:pPr>
        <w:spacing w:line="500" w:lineRule="exact"/>
        <w:ind w:left="105" w:leftChars="50" w:right="105" w:rightChars="50"/>
        <w:jc w:val="center"/>
        <w:rPr>
          <w:rFonts w:ascii="宋体" w:hAnsi="宋体"/>
          <w:b/>
          <w:color w:val="auto"/>
          <w:sz w:val="28"/>
          <w:szCs w:val="21"/>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jc w:val="center"/>
        </w:trPr>
        <w:tc>
          <w:tcPr>
            <w:tcW w:w="8020" w:type="dxa"/>
            <w:tcBorders>
              <w:top w:val="single" w:color="auto" w:sz="4" w:space="0"/>
              <w:left w:val="single" w:color="auto" w:sz="4" w:space="0"/>
              <w:right w:val="single" w:color="auto" w:sz="4" w:space="0"/>
            </w:tcBorders>
            <w:noWrap/>
            <w:vAlign w:val="center"/>
          </w:tcPr>
          <w:p>
            <w:pPr>
              <w:spacing w:line="500" w:lineRule="exact"/>
              <w:rPr>
                <w:rFonts w:ascii="宋体" w:hAnsi="宋体"/>
                <w:color w:val="auto"/>
                <w:kern w:val="0"/>
                <w:sz w:val="28"/>
                <w:szCs w:val="21"/>
                <w:highlight w:val="none"/>
              </w:rPr>
            </w:pPr>
          </w:p>
        </w:tc>
      </w:tr>
    </w:tbl>
    <w:p>
      <w:pPr>
        <w:spacing w:line="500" w:lineRule="exact"/>
        <w:ind w:left="105" w:leftChars="50" w:right="105" w:rightChars="50"/>
        <w:rPr>
          <w:rFonts w:ascii="宋体" w:hAnsi="宋体"/>
          <w:color w:val="auto"/>
          <w:sz w:val="28"/>
          <w:szCs w:val="21"/>
          <w:highlight w:val="none"/>
        </w:rPr>
      </w:pPr>
    </w:p>
    <w:p>
      <w:pPr>
        <w:spacing w:line="500" w:lineRule="exact"/>
        <w:ind w:left="105" w:leftChars="50" w:right="105" w:rightChars="50"/>
        <w:jc w:val="center"/>
        <w:rPr>
          <w:rFonts w:ascii="宋体" w:hAnsi="宋体"/>
          <w:b/>
          <w:color w:val="auto"/>
          <w:sz w:val="28"/>
          <w:szCs w:val="21"/>
          <w:highlight w:val="none"/>
        </w:rPr>
      </w:pPr>
    </w:p>
    <w:p>
      <w:pPr>
        <w:spacing w:line="500" w:lineRule="exact"/>
        <w:ind w:left="105" w:leftChars="50" w:right="105" w:rightChars="50"/>
        <w:jc w:val="center"/>
        <w:rPr>
          <w:rFonts w:ascii="宋体" w:hAnsi="宋体"/>
          <w:b/>
          <w:color w:val="auto"/>
          <w:sz w:val="28"/>
          <w:szCs w:val="21"/>
          <w:highlight w:val="none"/>
        </w:rPr>
      </w:pPr>
    </w:p>
    <w:p>
      <w:pPr>
        <w:spacing w:line="360" w:lineRule="auto"/>
        <w:ind w:firstLine="560" w:firstLineChars="200"/>
        <w:rPr>
          <w:rFonts w:ascii="宋体" w:hAnsi="宋体" w:cs="宋体"/>
          <w:color w:val="auto"/>
          <w:sz w:val="28"/>
          <w:szCs w:val="21"/>
          <w:highlight w:val="none"/>
        </w:rPr>
      </w:pPr>
      <w:r>
        <w:rPr>
          <w:rFonts w:hint="eastAsia" w:ascii="宋体" w:hAnsi="宋体" w:cs="宋体"/>
          <w:color w:val="auto"/>
          <w:sz w:val="28"/>
          <w:szCs w:val="21"/>
          <w:highlight w:val="none"/>
        </w:rPr>
        <w:t>供应商：（公章）</w:t>
      </w:r>
    </w:p>
    <w:p>
      <w:pPr>
        <w:spacing w:line="360" w:lineRule="auto"/>
        <w:ind w:firstLine="480"/>
        <w:rPr>
          <w:rFonts w:ascii="宋体" w:hAnsi="宋体" w:cs="宋体"/>
          <w:color w:val="auto"/>
          <w:sz w:val="28"/>
          <w:szCs w:val="21"/>
          <w:highlight w:val="none"/>
          <w:lang w:val="zh-CN"/>
        </w:rPr>
      </w:pPr>
      <w:r>
        <w:rPr>
          <w:rFonts w:hint="eastAsia" w:ascii="宋体" w:hAnsi="宋体" w:cs="宋体"/>
          <w:color w:val="auto"/>
          <w:sz w:val="28"/>
          <w:szCs w:val="21"/>
          <w:highlight w:val="none"/>
        </w:rPr>
        <w:t>法定代表人或授权代理人</w:t>
      </w:r>
      <w:r>
        <w:rPr>
          <w:rFonts w:hint="eastAsia" w:ascii="宋体" w:hAnsi="宋体" w:cs="宋体"/>
          <w:color w:val="auto"/>
          <w:sz w:val="28"/>
          <w:szCs w:val="21"/>
          <w:highlight w:val="none"/>
          <w:lang w:val="zh-CN"/>
        </w:rPr>
        <w:t>（</w:t>
      </w:r>
      <w:r>
        <w:rPr>
          <w:rFonts w:hint="eastAsia" w:ascii="宋体" w:hAnsi="宋体" w:cs="宋体"/>
          <w:color w:val="auto"/>
          <w:sz w:val="28"/>
          <w:szCs w:val="21"/>
          <w:highlight w:val="none"/>
        </w:rPr>
        <w:t>签字或盖章</w:t>
      </w:r>
      <w:r>
        <w:rPr>
          <w:rFonts w:hint="eastAsia" w:ascii="宋体" w:hAnsi="宋体" w:cs="宋体"/>
          <w:color w:val="auto"/>
          <w:sz w:val="28"/>
          <w:szCs w:val="21"/>
          <w:highlight w:val="none"/>
          <w:lang w:val="zh-CN"/>
        </w:rPr>
        <w:t>）：</w:t>
      </w:r>
    </w:p>
    <w:p>
      <w:pPr>
        <w:spacing w:line="360" w:lineRule="auto"/>
        <w:ind w:firstLine="480"/>
        <w:rPr>
          <w:rFonts w:ascii="宋体" w:hAnsi="宋体" w:cs="宋体"/>
          <w:color w:val="auto"/>
          <w:sz w:val="28"/>
          <w:szCs w:val="21"/>
          <w:highlight w:val="none"/>
        </w:rPr>
      </w:pPr>
    </w:p>
    <w:p>
      <w:pPr>
        <w:spacing w:line="360" w:lineRule="auto"/>
        <w:ind w:firstLine="480"/>
        <w:rPr>
          <w:rFonts w:ascii="宋体" w:hAnsi="宋体" w:cs="宋体"/>
          <w:color w:val="auto"/>
          <w:sz w:val="28"/>
          <w:szCs w:val="21"/>
          <w:highlight w:val="none"/>
        </w:rPr>
      </w:pPr>
    </w:p>
    <w:p>
      <w:pPr>
        <w:spacing w:line="360" w:lineRule="auto"/>
        <w:ind w:firstLine="480"/>
        <w:rPr>
          <w:rFonts w:ascii="宋体" w:hAnsi="宋体" w:cs="宋体"/>
          <w:color w:val="auto"/>
          <w:sz w:val="28"/>
          <w:szCs w:val="21"/>
          <w:highlight w:val="none"/>
        </w:rPr>
      </w:pPr>
    </w:p>
    <w:p>
      <w:pPr>
        <w:spacing w:line="360" w:lineRule="auto"/>
        <w:ind w:firstLine="480"/>
        <w:rPr>
          <w:rFonts w:ascii="宋体" w:hAnsi="宋体" w:cs="宋体"/>
          <w:color w:val="auto"/>
          <w:sz w:val="28"/>
          <w:szCs w:val="21"/>
          <w:highlight w:val="none"/>
        </w:rPr>
      </w:pPr>
    </w:p>
    <w:p>
      <w:pPr>
        <w:spacing w:line="360" w:lineRule="auto"/>
        <w:rPr>
          <w:rFonts w:ascii="宋体" w:hAnsi="宋体" w:cs="宋体"/>
          <w:color w:val="auto"/>
          <w:sz w:val="28"/>
          <w:szCs w:val="21"/>
          <w:highlight w:val="none"/>
        </w:rPr>
      </w:pPr>
    </w:p>
    <w:p>
      <w:pPr>
        <w:spacing w:line="360" w:lineRule="auto"/>
        <w:ind w:firstLine="480"/>
        <w:jc w:val="right"/>
        <w:rPr>
          <w:rFonts w:hint="eastAsia" w:ascii="宋体" w:hAnsi="宋体" w:cs="宋体"/>
          <w:color w:val="auto"/>
          <w:sz w:val="28"/>
          <w:szCs w:val="21"/>
          <w:highlight w:val="none"/>
        </w:rPr>
      </w:pPr>
      <w:r>
        <w:rPr>
          <w:rFonts w:hint="eastAsia" w:ascii="宋体" w:hAnsi="宋体" w:cs="宋体"/>
          <w:color w:val="auto"/>
          <w:sz w:val="28"/>
          <w:szCs w:val="21"/>
          <w:highlight w:val="none"/>
        </w:rPr>
        <w:t>日     期：   年    月    日</w:t>
      </w:r>
    </w:p>
    <w:p>
      <w:pPr>
        <w:pStyle w:val="2"/>
        <w:rPr>
          <w:rFonts w:hint="eastAsia"/>
          <w:color w:val="auto"/>
          <w:highlight w:val="none"/>
        </w:rPr>
      </w:pPr>
    </w:p>
    <w:p>
      <w:pPr>
        <w:pStyle w:val="12"/>
        <w:rPr>
          <w:rFonts w:hint="eastAsia" w:ascii="宋体" w:hAnsi="宋体" w:cs="宋体"/>
          <w:color w:val="auto"/>
          <w:sz w:val="28"/>
          <w:szCs w:val="21"/>
          <w:highlight w:val="none"/>
        </w:rPr>
      </w:pPr>
    </w:p>
    <w:p>
      <w:pPr>
        <w:jc w:val="center"/>
        <w:rPr>
          <w:rFonts w:hint="eastAsia"/>
          <w:color w:val="auto"/>
          <w:w w:val="50"/>
          <w:sz w:val="13"/>
          <w:szCs w:val="13"/>
          <w:highlight w:val="none"/>
        </w:rPr>
      </w:pPr>
      <w:r>
        <w:rPr>
          <w:rFonts w:hint="eastAsia"/>
          <w:color w:val="auto"/>
          <w:w w:val="50"/>
          <w:sz w:val="92"/>
          <w:szCs w:val="92"/>
          <w:highlight w:val="none"/>
          <w:u w:val="single"/>
        </w:rPr>
        <w:t>临沂市市级政府投资项目招标最高控制价</w:t>
      </w:r>
    </w:p>
    <w:p>
      <w:pPr>
        <w:rPr>
          <w:rFonts w:hint="eastAsia" w:ascii="仿宋" w:hAnsi="仿宋" w:eastAsia="仿宋"/>
          <w:color w:val="auto"/>
          <w:sz w:val="32"/>
          <w:highlight w:val="none"/>
        </w:rPr>
      </w:pPr>
      <w:r>
        <w:rPr>
          <w:rFonts w:hint="eastAsia"/>
          <w:b/>
          <w:color w:val="auto"/>
          <w:sz w:val="32"/>
          <w:highlight w:val="none"/>
        </w:rPr>
        <w:t xml:space="preserve">                                    </w:t>
      </w:r>
      <w:r>
        <w:rPr>
          <w:rFonts w:hint="eastAsia"/>
          <w:color w:val="auto"/>
          <w:sz w:val="32"/>
          <w:highlight w:val="none"/>
        </w:rPr>
        <w:t xml:space="preserve">  </w:t>
      </w:r>
      <w:r>
        <w:rPr>
          <w:rFonts w:hint="eastAsia" w:ascii="仿宋" w:hAnsi="仿宋" w:eastAsia="仿宋"/>
          <w:color w:val="auto"/>
          <w:sz w:val="32"/>
          <w:highlight w:val="none"/>
        </w:rPr>
        <w:t>20</w:t>
      </w:r>
      <w:r>
        <w:rPr>
          <w:rFonts w:hint="eastAsia" w:ascii="仿宋" w:hAnsi="仿宋" w:eastAsia="仿宋"/>
          <w:color w:val="auto"/>
          <w:sz w:val="32"/>
          <w:highlight w:val="none"/>
          <w:lang w:val="en-US" w:eastAsia="zh-CN"/>
        </w:rPr>
        <w:t>21</w:t>
      </w:r>
      <w:r>
        <w:rPr>
          <w:rFonts w:hint="eastAsia" w:ascii="仿宋" w:hAnsi="仿宋" w:eastAsia="仿宋"/>
          <w:color w:val="auto"/>
          <w:sz w:val="32"/>
          <w:highlight w:val="none"/>
        </w:rPr>
        <w:t xml:space="preserve">第 </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 xml:space="preserve">  号  </w:t>
      </w:r>
    </w:p>
    <w:p>
      <w:pPr>
        <w:keepNext w:val="0"/>
        <w:keepLines w:val="0"/>
        <w:pageBreakBefore w:val="0"/>
        <w:widowControl w:val="0"/>
        <w:kinsoku/>
        <w:wordWrap/>
        <w:overflowPunct/>
        <w:topLinePunct w:val="0"/>
        <w:autoSpaceDE/>
        <w:autoSpaceDN/>
        <w:bidi w:val="0"/>
        <w:adjustRightInd/>
        <w:snapToGrid/>
        <w:spacing w:line="240" w:lineRule="auto"/>
        <w:ind w:left="2528" w:leftChars="303" w:hanging="1892" w:hangingChars="589"/>
        <w:jc w:val="left"/>
        <w:textAlignment w:val="auto"/>
        <w:rPr>
          <w:rFonts w:hint="default"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rPr>
        <w:t>项目  名称：</w:t>
      </w:r>
      <w:r>
        <w:rPr>
          <w:rFonts w:hint="eastAsia" w:ascii="仿宋" w:hAnsi="仿宋" w:eastAsia="仿宋"/>
          <w:b/>
          <w:bCs/>
          <w:color w:val="auto"/>
          <w:sz w:val="32"/>
          <w:szCs w:val="32"/>
          <w:highlight w:val="none"/>
          <w:lang w:val="en-US" w:eastAsia="zh-CN"/>
        </w:rPr>
        <w:t>山东省临沂卫生学校扩建项目图书信息综合楼工程--YT保温</w:t>
      </w:r>
    </w:p>
    <w:p>
      <w:pPr>
        <w:keepNext w:val="0"/>
        <w:keepLines w:val="0"/>
        <w:pageBreakBefore w:val="0"/>
        <w:widowControl w:val="0"/>
        <w:kinsoku/>
        <w:wordWrap/>
        <w:overflowPunct/>
        <w:topLinePunct w:val="0"/>
        <w:autoSpaceDE/>
        <w:autoSpaceDN/>
        <w:bidi w:val="0"/>
        <w:adjustRightInd/>
        <w:snapToGrid/>
        <w:spacing w:line="15" w:lineRule="auto"/>
        <w:ind w:left="2566" w:leftChars="304" w:hanging="1928" w:hangingChars="600"/>
        <w:jc w:val="left"/>
        <w:textAlignment w:val="auto"/>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最高控制价：</w:t>
      </w:r>
      <w:r>
        <w:rPr>
          <w:rFonts w:hint="eastAsia" w:ascii="仿宋" w:hAnsi="仿宋" w:eastAsia="仿宋"/>
          <w:b/>
          <w:bCs/>
          <w:color w:val="auto"/>
          <w:sz w:val="32"/>
          <w:szCs w:val="32"/>
          <w:highlight w:val="none"/>
          <w:lang w:val="en-US" w:eastAsia="zh-CN"/>
        </w:rPr>
        <w:t>268.48</w:t>
      </w:r>
      <w:r>
        <w:rPr>
          <w:rFonts w:hint="eastAsia" w:ascii="仿宋" w:hAnsi="仿宋" w:eastAsia="仿宋"/>
          <w:b/>
          <w:bCs/>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15" w:lineRule="auto"/>
        <w:ind w:left="2566" w:leftChars="304" w:hanging="1928" w:hangingChars="600"/>
        <w:jc w:val="left"/>
        <w:textAlignment w:val="auto"/>
        <w:rPr>
          <w:rFonts w:hint="eastAsia" w:ascii="仿宋" w:hAnsi="仿宋" w:eastAsia="仿宋"/>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181" w:leftChars="-86" w:firstLine="768" w:firstLineChars="255"/>
        <w:jc w:val="left"/>
        <w:textAlignment w:val="auto"/>
        <w:rPr>
          <w:rFonts w:hint="eastAsia" w:ascii="仿宋" w:hAnsi="仿宋" w:eastAsia="仿宋"/>
          <w:b/>
          <w:bCs/>
          <w:color w:val="auto"/>
          <w:sz w:val="30"/>
          <w:szCs w:val="30"/>
          <w:highlight w:val="none"/>
          <w:lang w:eastAsia="zh-CN"/>
        </w:rPr>
      </w:pPr>
      <w:r>
        <w:rPr>
          <w:rFonts w:hint="eastAsia" w:ascii="仿宋" w:hAnsi="仿宋" w:eastAsia="仿宋"/>
          <w:b/>
          <w:bCs/>
          <w:color w:val="auto"/>
          <w:sz w:val="30"/>
          <w:szCs w:val="30"/>
          <w:highlight w:val="none"/>
          <w:lang w:val="en-US" w:eastAsia="zh-CN"/>
        </w:rPr>
        <w:t>单项</w:t>
      </w:r>
      <w:r>
        <w:rPr>
          <w:rFonts w:hint="eastAsia" w:ascii="仿宋" w:hAnsi="仿宋" w:eastAsia="仿宋"/>
          <w:b/>
          <w:bCs/>
          <w:color w:val="auto"/>
          <w:sz w:val="30"/>
          <w:szCs w:val="30"/>
          <w:highlight w:val="none"/>
          <w:lang w:eastAsia="zh-CN"/>
        </w:rPr>
        <w:t>最高限价见附表：</w:t>
      </w:r>
    </w:p>
    <w:p>
      <w:pPr>
        <w:spacing w:line="500" w:lineRule="exact"/>
        <w:ind w:firstLine="800" w:firstLineChars="25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说明：</w:t>
      </w:r>
      <w:r>
        <w:rPr>
          <w:rFonts w:hint="eastAsia" w:ascii="仿宋_GB2312" w:eastAsia="仿宋_GB2312"/>
          <w:color w:val="auto"/>
          <w:sz w:val="32"/>
          <w:szCs w:val="32"/>
          <w:highlight w:val="none"/>
          <w:u w:val="single"/>
        </w:rPr>
        <w:t>招标代理公司需提前将控制价向投标单位公布。各投标单位投标时必须在总最高控制价以内报价，有分（单）项招标控制价的，也必须在各分（单）项招标控制价以内报价，否则作废标（无效标）处理。</w:t>
      </w:r>
    </w:p>
    <w:p>
      <w:pPr>
        <w:rPr>
          <w:rFonts w:hint="eastAsia" w:ascii="仿宋_GB2312" w:eastAsia="仿宋_GB2312"/>
          <w:color w:val="auto"/>
          <w:sz w:val="18"/>
          <w:szCs w:val="18"/>
          <w:highlight w:val="none"/>
        </w:rPr>
      </w:pPr>
      <w:r>
        <w:rPr>
          <w:rFonts w:hint="eastAsia" w:ascii="仿宋_GB2312" w:eastAsia="仿宋_GB2312"/>
          <w:color w:val="auto"/>
          <w:sz w:val="32"/>
          <w:szCs w:val="32"/>
          <w:highlight w:val="none"/>
        </w:rPr>
        <w:t xml:space="preserve">建设单位（盖章）：          </w:t>
      </w:r>
      <w:r>
        <w:rPr>
          <w:rFonts w:hint="eastAsia" w:ascii="仿宋_GB2312" w:hAnsi="仿宋_GB2312" w:eastAsia="仿宋_GB2312"/>
          <w:color w:val="auto"/>
          <w:sz w:val="32"/>
          <w:szCs w:val="32"/>
          <w:highlight w:val="none"/>
        </w:rPr>
        <w:t xml:space="preserve">招标代理公司（盖章）：       </w:t>
      </w:r>
    </w:p>
    <w:p>
      <w:pPr>
        <w:rPr>
          <w:rFonts w:hint="eastAsia" w:ascii="仿宋_GB2312" w:eastAsia="仿宋_GB2312"/>
          <w:color w:val="auto"/>
          <w:sz w:val="18"/>
          <w:szCs w:val="18"/>
          <w:highlight w:val="none"/>
        </w:rPr>
      </w:pPr>
    </w:p>
    <w:p>
      <w:pPr>
        <w:rPr>
          <w:rFonts w:hint="eastAsia" w:ascii="仿宋_GB2312" w:eastAsia="仿宋_GB2312"/>
          <w:color w:val="auto"/>
          <w:sz w:val="18"/>
          <w:szCs w:val="18"/>
          <w:highlight w:val="none"/>
        </w:rPr>
      </w:pPr>
    </w:p>
    <w:p>
      <w:pPr>
        <w:rPr>
          <w:rFonts w:hint="eastAsia" w:ascii="仿宋_GB2312" w:eastAsia="仿宋_GB2312"/>
          <w:color w:val="auto"/>
          <w:sz w:val="18"/>
          <w:szCs w:val="18"/>
          <w:highlight w:val="none"/>
        </w:rPr>
      </w:pPr>
    </w:p>
    <w:p>
      <w:pPr>
        <w:rPr>
          <w:rFonts w:hint="eastAsia" w:ascii="仿宋_GB2312" w:eastAsia="仿宋_GB2312"/>
          <w:color w:val="auto"/>
          <w:sz w:val="18"/>
          <w:szCs w:val="18"/>
          <w:highlight w:val="none"/>
        </w:rPr>
      </w:pPr>
    </w:p>
    <w:p>
      <w:pPr>
        <w:rPr>
          <w:rFonts w:hint="eastAsia" w:ascii="仿宋_GB2312" w:eastAsia="仿宋_GB2312"/>
          <w:color w:val="auto"/>
          <w:sz w:val="18"/>
          <w:szCs w:val="18"/>
          <w:highlight w:val="none"/>
        </w:rPr>
      </w:pPr>
    </w:p>
    <w:p>
      <w:pPr>
        <w:rPr>
          <w:rFonts w:hint="eastAsia" w:ascii="仿宋_GB2312" w:eastAsia="仿宋_GB2312"/>
          <w:color w:val="auto"/>
          <w:sz w:val="18"/>
          <w:szCs w:val="18"/>
          <w:highlight w:val="none"/>
        </w:rPr>
      </w:pPr>
    </w:p>
    <w:p>
      <w:pPr>
        <w:rPr>
          <w:rFonts w:hint="eastAsia" w:ascii="仿宋_GB2312" w:eastAsia="仿宋_GB2312"/>
          <w:color w:val="auto"/>
          <w:sz w:val="18"/>
          <w:szCs w:val="18"/>
          <w:highlight w:val="none"/>
        </w:rPr>
      </w:pPr>
    </w:p>
    <w:p>
      <w:pPr>
        <w:rPr>
          <w:rFonts w:hint="eastAsia" w:ascii="仿宋_GB2312" w:eastAsia="仿宋_GB2312"/>
          <w:color w:val="auto"/>
          <w:sz w:val="18"/>
          <w:szCs w:val="18"/>
          <w:highlight w:val="none"/>
        </w:rPr>
      </w:pPr>
      <w:r>
        <w:rPr>
          <w:rFonts w:hint="eastAsia" w:ascii="仿宋_GB2312" w:eastAsia="仿宋_GB2312"/>
          <w:color w:val="auto"/>
          <w:sz w:val="32"/>
          <w:szCs w:val="32"/>
          <w:highlight w:val="none"/>
        </w:rPr>
        <w:t xml:space="preserve">财政部门（盖章）：          限价编制单位（盖章）：      </w:t>
      </w:r>
    </w:p>
    <w:p>
      <w:pPr>
        <w:rPr>
          <w:rFonts w:hint="eastAsia" w:ascii="仿宋_GB2312" w:eastAsia="仿宋_GB2312"/>
          <w:color w:val="auto"/>
          <w:sz w:val="18"/>
          <w:szCs w:val="18"/>
          <w:highlight w:val="none"/>
        </w:rPr>
      </w:pPr>
    </w:p>
    <w:p>
      <w:pPr>
        <w:rPr>
          <w:rFonts w:hint="eastAsia" w:ascii="仿宋_GB2312" w:eastAsia="仿宋_GB2312"/>
          <w:color w:val="auto"/>
          <w:sz w:val="18"/>
          <w:szCs w:val="18"/>
          <w:highlight w:val="none"/>
        </w:rPr>
      </w:pPr>
    </w:p>
    <w:p>
      <w:pPr>
        <w:rPr>
          <w:rFonts w:hint="eastAsia" w:ascii="仿宋_GB2312" w:eastAsia="仿宋_GB2312"/>
          <w:color w:val="auto"/>
          <w:sz w:val="18"/>
          <w:szCs w:val="18"/>
          <w:highlight w:val="none"/>
        </w:rPr>
      </w:pPr>
    </w:p>
    <w:p>
      <w:pPr>
        <w:rPr>
          <w:rFonts w:hint="eastAsia" w:ascii="仿宋_GB2312" w:eastAsia="仿宋_GB2312"/>
          <w:color w:val="auto"/>
          <w:sz w:val="18"/>
          <w:szCs w:val="18"/>
          <w:highlight w:val="none"/>
        </w:rPr>
      </w:pPr>
    </w:p>
    <w:p>
      <w:pPr>
        <w:rPr>
          <w:rFonts w:hint="eastAsia" w:ascii="仿宋_GB2312" w:eastAsia="仿宋_GB2312"/>
          <w:color w:val="auto"/>
          <w:sz w:val="18"/>
          <w:szCs w:val="18"/>
          <w:highlight w:val="none"/>
        </w:rPr>
      </w:pPr>
    </w:p>
    <w:p>
      <w:pPr>
        <w:rPr>
          <w:rFonts w:hint="eastAsia" w:ascii="仿宋_GB2312" w:eastAsia="仿宋_GB2312"/>
          <w:color w:val="auto"/>
          <w:sz w:val="18"/>
          <w:szCs w:val="18"/>
          <w:highlight w:val="none"/>
        </w:rPr>
      </w:pP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工程造价管理部门（盖章）：</w:t>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 xml:space="preserve"> </w:t>
      </w:r>
    </w:p>
    <w:p>
      <w:pPr>
        <w:rPr>
          <w:rFonts w:hint="eastAsia" w:ascii="仿宋_GB2312" w:eastAsia="仿宋_GB2312"/>
          <w:color w:val="auto"/>
          <w:sz w:val="18"/>
          <w:szCs w:val="18"/>
          <w:highlight w:val="none"/>
        </w:rPr>
      </w:pP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 xml:space="preserve"> 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09</w:t>
      </w:r>
      <w:r>
        <w:rPr>
          <w:rFonts w:hint="eastAsia" w:ascii="仿宋_GB2312" w:eastAsia="仿宋_GB2312"/>
          <w:color w:val="auto"/>
          <w:sz w:val="32"/>
          <w:szCs w:val="32"/>
          <w:highlight w:val="none"/>
        </w:rPr>
        <w:t>日</w:t>
      </w:r>
    </w:p>
    <w:tbl>
      <w:tblPr>
        <w:tblStyle w:val="17"/>
        <w:tblW w:w="911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4588"/>
        <w:gridCol w:w="1005"/>
        <w:gridCol w:w="2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9110"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auto"/>
                <w:sz w:val="36"/>
                <w:szCs w:val="36"/>
                <w:highlight w:val="none"/>
                <w:u w:val="none"/>
                <w:lang w:val="en-US"/>
              </w:rPr>
            </w:pPr>
            <w:r>
              <w:rPr>
                <w:rFonts w:hint="eastAsia" w:ascii="宋体" w:hAnsi="宋体" w:eastAsia="宋体" w:cs="宋体"/>
                <w:b/>
                <w:bCs/>
                <w:i w:val="0"/>
                <w:iCs w:val="0"/>
                <w:color w:val="auto"/>
                <w:kern w:val="0"/>
                <w:sz w:val="36"/>
                <w:szCs w:val="36"/>
                <w:highlight w:val="none"/>
                <w:u w:val="none"/>
                <w:lang w:val="en-US" w:eastAsia="zh-CN" w:bidi="ar"/>
              </w:rPr>
              <w:t>山东省临沂卫生学校扩建项目图书信息综合楼工程-- YT保温单价限价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79"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序号</w:t>
            </w:r>
          </w:p>
        </w:tc>
        <w:tc>
          <w:tcPr>
            <w:tcW w:w="4588"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工作内容</w:t>
            </w:r>
          </w:p>
        </w:tc>
        <w:tc>
          <w:tcPr>
            <w:tcW w:w="100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单位</w:t>
            </w:r>
          </w:p>
        </w:tc>
        <w:tc>
          <w:tcPr>
            <w:tcW w:w="2738"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Fonts w:hint="eastAsia" w:ascii="宋体" w:hAnsi="宋体" w:eastAsia="宋体" w:cs="宋体"/>
                <w:b/>
                <w:bCs/>
                <w:i w:val="0"/>
                <w:iCs w:val="0"/>
                <w:color w:val="auto"/>
                <w:kern w:val="0"/>
                <w:sz w:val="28"/>
                <w:szCs w:val="28"/>
                <w:highlight w:val="none"/>
                <w:u w:val="none"/>
                <w:lang w:val="en-US" w:eastAsia="zh-CN" w:bidi="ar"/>
              </w:rPr>
              <w:t>全费用单价限价（元/㎡）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779"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w:t>
            </w:r>
          </w:p>
        </w:tc>
        <w:tc>
          <w:tcPr>
            <w:tcW w:w="4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YT保温抹分遍抹50mm厚，抗裂砂浆一遍（3~5mm），内压160g/㎡耐碱玻纤网</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779"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2</w:t>
            </w:r>
          </w:p>
        </w:tc>
        <w:tc>
          <w:tcPr>
            <w:tcW w:w="4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YT保温抹分遍抹30mm厚，抗裂砂浆一遍（3~5mm），内压160g/㎡耐碱玻纤网</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779"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3</w:t>
            </w:r>
          </w:p>
        </w:tc>
        <w:tc>
          <w:tcPr>
            <w:tcW w:w="4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YT保温抹分遍抹50mm厚，内压160g/㎡耐碱玻纤网</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779"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4</w:t>
            </w:r>
          </w:p>
        </w:tc>
        <w:tc>
          <w:tcPr>
            <w:tcW w:w="4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YT保温抹分遍抹40mm厚，内压160g/㎡耐碱玻纤网</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79"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5</w:t>
            </w:r>
          </w:p>
        </w:tc>
        <w:tc>
          <w:tcPr>
            <w:tcW w:w="4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YT保温抹分遍抹30mm厚，内压160g/㎡耐碱玻纤网</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79"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6</w:t>
            </w:r>
          </w:p>
        </w:tc>
        <w:tc>
          <w:tcPr>
            <w:tcW w:w="4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YT保温抹分遍抹20mm厚，内压160g/㎡耐碱玻纤网</w:t>
            </w:r>
          </w:p>
        </w:tc>
        <w:tc>
          <w:tcPr>
            <w:tcW w:w="10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w:t>
            </w:r>
          </w:p>
        </w:tc>
        <w:tc>
          <w:tcPr>
            <w:tcW w:w="2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highlight w:val="none"/>
                <w:u w:val="none"/>
              </w:rPr>
            </w:pPr>
            <w:r>
              <w:rPr>
                <w:rFonts w:hint="eastAsia" w:ascii="宋体" w:hAnsi="宋体" w:eastAsia="宋体" w:cs="宋体"/>
                <w:i w:val="0"/>
                <w:iCs w:val="0"/>
                <w:color w:val="auto"/>
                <w:kern w:val="0"/>
                <w:sz w:val="28"/>
                <w:szCs w:val="28"/>
                <w:highlight w:val="none"/>
                <w:u w:val="none"/>
                <w:lang w:val="en-US" w:eastAsia="zh-CN" w:bidi="ar"/>
              </w:rPr>
              <w:t>65</w:t>
            </w:r>
          </w:p>
        </w:tc>
      </w:tr>
    </w:tbl>
    <w:p>
      <w:pPr>
        <w:rPr>
          <w:rFonts w:hint="eastAsia" w:ascii="仿宋_GB2312" w:eastAsia="仿宋_GB2312"/>
          <w:color w:val="auto"/>
          <w:sz w:val="32"/>
          <w:szCs w:val="32"/>
          <w:highlight w:val="none"/>
        </w:rPr>
      </w:pPr>
    </w:p>
    <w:p>
      <w:pPr>
        <w:rPr>
          <w:rFonts w:hint="eastAsia" w:ascii="宋体" w:hAnsi="宋体" w:cs="宋体"/>
          <w:color w:val="auto"/>
          <w:sz w:val="28"/>
          <w:szCs w:val="21"/>
          <w:highlight w:val="none"/>
        </w:rPr>
      </w:pPr>
    </w:p>
    <w:p>
      <w:pPr>
        <w:pStyle w:val="2"/>
        <w:rPr>
          <w:rFonts w:hint="eastAsia" w:ascii="宋体" w:hAnsi="宋体" w:cs="宋体"/>
          <w:color w:val="auto"/>
          <w:sz w:val="28"/>
          <w:szCs w:val="21"/>
          <w:highlight w:val="none"/>
        </w:rPr>
      </w:pPr>
    </w:p>
    <w:p>
      <w:pPr>
        <w:rPr>
          <w:rFonts w:hint="eastAsia"/>
          <w:color w:val="auto"/>
          <w:highlight w:val="none"/>
        </w:rPr>
      </w:pPr>
    </w:p>
    <w:p>
      <w:pPr>
        <w:spacing w:line="480" w:lineRule="exact"/>
        <w:jc w:val="center"/>
        <w:rPr>
          <w:rFonts w:ascii="宋体" w:hAnsi="宋体"/>
          <w:b/>
          <w:color w:val="auto"/>
          <w:sz w:val="36"/>
          <w:szCs w:val="36"/>
          <w:highlight w:val="none"/>
        </w:rPr>
      </w:pPr>
      <w:r>
        <w:rPr>
          <w:rFonts w:hint="eastAsia" w:ascii="宋体" w:hAnsi="宋体"/>
          <w:b/>
          <w:color w:val="auto"/>
          <w:sz w:val="32"/>
          <w:szCs w:val="32"/>
          <w:highlight w:val="none"/>
        </w:rPr>
        <w:t>响应</w:t>
      </w:r>
      <w:r>
        <w:rPr>
          <w:rFonts w:ascii="宋体" w:hAnsi="宋体"/>
          <w:b/>
          <w:color w:val="auto"/>
          <w:sz w:val="32"/>
          <w:szCs w:val="32"/>
          <w:highlight w:val="none"/>
        </w:rPr>
        <w:t>文件包装袋密封件正面</w:t>
      </w:r>
      <w:r>
        <w:rPr>
          <w:rFonts w:hint="eastAsia" w:ascii="宋体" w:hAnsi="宋体"/>
          <w:b/>
          <w:color w:val="auto"/>
          <w:sz w:val="32"/>
          <w:szCs w:val="32"/>
          <w:highlight w:val="none"/>
        </w:rPr>
        <w:t>、封口等</w:t>
      </w:r>
      <w:r>
        <w:rPr>
          <w:rFonts w:ascii="宋体" w:hAnsi="宋体"/>
          <w:b/>
          <w:color w:val="auto"/>
          <w:sz w:val="32"/>
          <w:szCs w:val="32"/>
          <w:highlight w:val="none"/>
        </w:rPr>
        <w:t>格式</w:t>
      </w:r>
    </w:p>
    <w:tbl>
      <w:tblPr>
        <w:tblStyle w:val="17"/>
        <w:tblpPr w:leftFromText="180" w:rightFromText="180" w:vertAnchor="text" w:horzAnchor="margin" w:tblpXSpec="center" w:tblpY="1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4"/>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4224" w:type="dxa"/>
            <w:noWrap/>
          </w:tcPr>
          <w:p>
            <w:pPr>
              <w:spacing w:line="460" w:lineRule="exact"/>
              <w:jc w:val="center"/>
              <w:rPr>
                <w:rFonts w:ascii="宋体" w:hAnsi="宋体"/>
                <w:b/>
                <w:bCs/>
                <w:color w:val="auto"/>
                <w:sz w:val="32"/>
                <w:szCs w:val="24"/>
                <w:highlight w:val="none"/>
              </w:rPr>
            </w:pPr>
            <w:r>
              <w:rPr>
                <w:rFonts w:hint="eastAsia" w:ascii="宋体" w:hAnsi="宋体"/>
                <w:b/>
                <w:bCs/>
                <w:color w:val="auto"/>
                <w:sz w:val="32"/>
                <w:szCs w:val="24"/>
                <w:highlight w:val="none"/>
              </w:rPr>
              <w:t>响应文件</w:t>
            </w:r>
          </w:p>
          <w:p>
            <w:pPr>
              <w:spacing w:line="460" w:lineRule="exact"/>
              <w:jc w:val="center"/>
              <w:rPr>
                <w:rFonts w:ascii="宋体" w:hAnsi="宋体"/>
                <w:b/>
                <w:bCs/>
                <w:color w:val="auto"/>
                <w:sz w:val="32"/>
                <w:szCs w:val="24"/>
                <w:highlight w:val="none"/>
              </w:rPr>
            </w:pPr>
            <w:r>
              <w:rPr>
                <w:rFonts w:hint="eastAsia" w:ascii="宋体" w:hAnsi="宋体"/>
                <w:b/>
                <w:bCs/>
                <w:color w:val="auto"/>
                <w:sz w:val="32"/>
                <w:szCs w:val="24"/>
                <w:highlight w:val="none"/>
              </w:rPr>
              <w:t>（正本）</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项目编号：</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项目名称：</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供应商名称（公章）：</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地址：</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电话：</w:t>
            </w:r>
          </w:p>
          <w:p>
            <w:pPr>
              <w:spacing w:line="460" w:lineRule="exact"/>
              <w:jc w:val="left"/>
              <w:rPr>
                <w:color w:val="auto"/>
                <w:sz w:val="22"/>
                <w:szCs w:val="21"/>
                <w:highlight w:val="none"/>
              </w:rPr>
            </w:pPr>
            <w:r>
              <w:rPr>
                <w:rFonts w:hint="eastAsia" w:ascii="宋体" w:hAnsi="宋体"/>
                <w:color w:val="auto"/>
                <w:sz w:val="32"/>
                <w:szCs w:val="24"/>
                <w:highlight w:val="none"/>
              </w:rPr>
              <w:t>邮政编码：</w:t>
            </w:r>
          </w:p>
        </w:tc>
        <w:tc>
          <w:tcPr>
            <w:tcW w:w="4620" w:type="dxa"/>
            <w:noWrap/>
          </w:tcPr>
          <w:p>
            <w:pPr>
              <w:spacing w:line="460" w:lineRule="exact"/>
              <w:jc w:val="center"/>
              <w:rPr>
                <w:rFonts w:ascii="宋体" w:hAnsi="宋体"/>
                <w:b/>
                <w:bCs/>
                <w:color w:val="auto"/>
                <w:sz w:val="32"/>
                <w:szCs w:val="24"/>
                <w:highlight w:val="none"/>
              </w:rPr>
            </w:pPr>
            <w:r>
              <w:rPr>
                <w:rFonts w:hint="eastAsia" w:ascii="宋体" w:hAnsi="宋体"/>
                <w:b/>
                <w:bCs/>
                <w:color w:val="auto"/>
                <w:sz w:val="32"/>
                <w:szCs w:val="24"/>
                <w:highlight w:val="none"/>
              </w:rPr>
              <w:t>响应文件</w:t>
            </w:r>
          </w:p>
          <w:p>
            <w:pPr>
              <w:spacing w:line="460" w:lineRule="exact"/>
              <w:jc w:val="center"/>
              <w:rPr>
                <w:rFonts w:ascii="宋体" w:hAnsi="宋体"/>
                <w:b/>
                <w:bCs/>
                <w:color w:val="auto"/>
                <w:sz w:val="32"/>
                <w:szCs w:val="24"/>
                <w:highlight w:val="none"/>
              </w:rPr>
            </w:pPr>
            <w:r>
              <w:rPr>
                <w:rFonts w:hint="eastAsia" w:ascii="宋体" w:hAnsi="宋体"/>
                <w:b/>
                <w:bCs/>
                <w:color w:val="auto"/>
                <w:sz w:val="32"/>
                <w:szCs w:val="24"/>
                <w:highlight w:val="none"/>
              </w:rPr>
              <w:t>（副本）</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项目编号：</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 xml:space="preserve">项目名称： </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供应商名称（公章）：</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地址：</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电话：</w:t>
            </w:r>
          </w:p>
          <w:p>
            <w:pPr>
              <w:spacing w:line="460" w:lineRule="exact"/>
              <w:jc w:val="left"/>
              <w:rPr>
                <w:color w:val="auto"/>
                <w:sz w:val="22"/>
                <w:szCs w:val="21"/>
                <w:highlight w:val="none"/>
              </w:rPr>
            </w:pPr>
            <w:r>
              <w:rPr>
                <w:rFonts w:hint="eastAsia" w:ascii="宋体" w:hAnsi="宋体"/>
                <w:color w:val="auto"/>
                <w:sz w:val="32"/>
                <w:szCs w:val="24"/>
                <w:highlight w:val="none"/>
              </w:rPr>
              <w:t>邮政编码：</w:t>
            </w:r>
          </w:p>
        </w:tc>
      </w:tr>
    </w:tbl>
    <w:p>
      <w:pPr>
        <w:rPr>
          <w:rFonts w:hAnsi="宋体"/>
          <w:color w:val="auto"/>
          <w:sz w:val="22"/>
          <w:szCs w:val="21"/>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4"/>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4304" w:type="dxa"/>
            <w:tcBorders>
              <w:bottom w:val="single" w:color="auto" w:sz="4" w:space="0"/>
            </w:tcBorders>
            <w:noWrap/>
          </w:tcPr>
          <w:p>
            <w:pPr>
              <w:spacing w:line="460" w:lineRule="exact"/>
              <w:jc w:val="center"/>
              <w:rPr>
                <w:rFonts w:ascii="宋体" w:hAnsi="宋体"/>
                <w:b/>
                <w:bCs/>
                <w:color w:val="auto"/>
                <w:sz w:val="32"/>
                <w:szCs w:val="24"/>
                <w:highlight w:val="none"/>
              </w:rPr>
            </w:pPr>
            <w:r>
              <w:rPr>
                <w:rFonts w:hint="eastAsia" w:ascii="宋体" w:hAnsi="宋体"/>
                <w:b/>
                <w:bCs/>
                <w:color w:val="auto"/>
                <w:sz w:val="32"/>
                <w:szCs w:val="24"/>
                <w:highlight w:val="none"/>
              </w:rPr>
              <w:t>报价一览表</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项目编号：</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项目名称：</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供应商名称（公章）：</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地址：</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电话：</w:t>
            </w:r>
          </w:p>
          <w:p>
            <w:pPr>
              <w:spacing w:line="460" w:lineRule="exact"/>
              <w:jc w:val="left"/>
              <w:rPr>
                <w:color w:val="auto"/>
                <w:sz w:val="22"/>
                <w:szCs w:val="21"/>
                <w:highlight w:val="none"/>
              </w:rPr>
            </w:pPr>
            <w:r>
              <w:rPr>
                <w:rFonts w:hint="eastAsia" w:ascii="宋体" w:hAnsi="宋体"/>
                <w:color w:val="auto"/>
                <w:sz w:val="32"/>
                <w:szCs w:val="24"/>
                <w:highlight w:val="none"/>
              </w:rPr>
              <w:t>邮政编码：</w:t>
            </w:r>
          </w:p>
        </w:tc>
        <w:tc>
          <w:tcPr>
            <w:tcW w:w="4620" w:type="dxa"/>
            <w:tcBorders>
              <w:bottom w:val="single" w:color="auto" w:sz="4" w:space="0"/>
            </w:tcBorders>
            <w:noWrap/>
          </w:tcPr>
          <w:p>
            <w:pPr>
              <w:spacing w:line="460" w:lineRule="exact"/>
              <w:jc w:val="center"/>
              <w:rPr>
                <w:rFonts w:ascii="宋体" w:hAnsi="宋体"/>
                <w:color w:val="auto"/>
                <w:sz w:val="32"/>
                <w:szCs w:val="24"/>
                <w:highlight w:val="none"/>
              </w:rPr>
            </w:pPr>
            <w:r>
              <w:rPr>
                <w:rFonts w:hint="eastAsia" w:ascii="宋体" w:hAnsi="宋体"/>
                <w:b/>
                <w:bCs/>
                <w:color w:val="auto"/>
                <w:sz w:val="32"/>
                <w:szCs w:val="24"/>
                <w:highlight w:val="none"/>
              </w:rPr>
              <w:t>资质证明文件</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项目编号：</w:t>
            </w:r>
          </w:p>
          <w:p>
            <w:pPr>
              <w:spacing w:line="460" w:lineRule="exact"/>
              <w:jc w:val="left"/>
              <w:rPr>
                <w:color w:val="auto"/>
                <w:highlight w:val="none"/>
              </w:rPr>
            </w:pPr>
            <w:r>
              <w:rPr>
                <w:rFonts w:hint="eastAsia" w:ascii="宋体" w:hAnsi="宋体"/>
                <w:color w:val="auto"/>
                <w:sz w:val="32"/>
                <w:szCs w:val="24"/>
                <w:highlight w:val="none"/>
              </w:rPr>
              <w:t xml:space="preserve">项目名称： </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供应商名称（公章）：</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地址：</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电话：</w:t>
            </w:r>
          </w:p>
          <w:p>
            <w:pPr>
              <w:spacing w:line="460" w:lineRule="exact"/>
              <w:jc w:val="left"/>
              <w:rPr>
                <w:rFonts w:ascii="宋体" w:hAnsi="宋体"/>
                <w:color w:val="auto"/>
                <w:sz w:val="32"/>
                <w:szCs w:val="24"/>
                <w:highlight w:val="none"/>
              </w:rPr>
            </w:pPr>
            <w:r>
              <w:rPr>
                <w:rFonts w:hint="eastAsia" w:ascii="宋体" w:hAnsi="宋体"/>
                <w:color w:val="auto"/>
                <w:sz w:val="32"/>
                <w:szCs w:val="24"/>
                <w:highlight w:val="none"/>
              </w:rPr>
              <w:t>邮政编码：</w:t>
            </w:r>
          </w:p>
        </w:tc>
      </w:tr>
    </w:tbl>
    <w:p>
      <w:pPr>
        <w:spacing w:line="480" w:lineRule="exact"/>
        <w:rPr>
          <w:rFonts w:ascii="宋体" w:hAnsi="宋体"/>
          <w:color w:val="auto"/>
          <w:sz w:val="40"/>
          <w:szCs w:val="40"/>
          <w:highlight w:val="none"/>
        </w:rPr>
      </w:pPr>
    </w:p>
    <w:p>
      <w:pPr>
        <w:spacing w:line="480" w:lineRule="exact"/>
        <w:jc w:val="center"/>
        <w:rPr>
          <w:rFonts w:ascii="宋体" w:hAnsi="宋体"/>
          <w:b/>
          <w:color w:val="auto"/>
          <w:sz w:val="36"/>
          <w:szCs w:val="36"/>
          <w:highlight w:val="none"/>
        </w:rPr>
      </w:pPr>
      <w:r>
        <w:rPr>
          <w:rFonts w:hint="eastAsia" w:ascii="宋体" w:hAnsi="宋体"/>
          <w:b/>
          <w:color w:val="auto"/>
          <w:sz w:val="36"/>
          <w:szCs w:val="36"/>
          <w:highlight w:val="none"/>
        </w:rPr>
        <w:t>响应文件封口格式</w:t>
      </w:r>
    </w:p>
    <w:p>
      <w:pPr>
        <w:spacing w:line="480" w:lineRule="exact"/>
        <w:jc w:val="center"/>
        <w:rPr>
          <w:rFonts w:ascii="宋体" w:hAnsi="宋体"/>
          <w:b/>
          <w:color w:val="auto"/>
          <w:sz w:val="40"/>
          <w:szCs w:val="40"/>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180" w:type="dxa"/>
            <w:noWrap/>
          </w:tcPr>
          <w:p>
            <w:pPr>
              <w:spacing w:line="480" w:lineRule="exact"/>
              <w:rPr>
                <w:rFonts w:ascii="宋体" w:hAnsi="宋体"/>
                <w:color w:val="auto"/>
                <w:sz w:val="28"/>
                <w:szCs w:val="21"/>
                <w:highlight w:val="none"/>
              </w:rPr>
            </w:pPr>
          </w:p>
          <w:p>
            <w:pPr>
              <w:spacing w:line="480" w:lineRule="exact"/>
              <w:jc w:val="center"/>
              <w:rPr>
                <w:rFonts w:ascii="宋体" w:hAnsi="宋体"/>
                <w:color w:val="auto"/>
                <w:sz w:val="28"/>
                <w:szCs w:val="21"/>
                <w:highlight w:val="none"/>
              </w:rPr>
            </w:pPr>
            <w:r>
              <w:rPr>
                <w:rFonts w:hint="eastAsia" w:ascii="宋体" w:hAnsi="宋体"/>
                <w:color w:val="auto"/>
                <w:sz w:val="28"/>
                <w:szCs w:val="21"/>
                <w:highlight w:val="none"/>
              </w:rPr>
              <w:t>请勿在     年  月  日  :   时之前启封</w:t>
            </w:r>
          </w:p>
          <w:p>
            <w:pPr>
              <w:pStyle w:val="14"/>
              <w:spacing w:beforeAutospacing="0" w:afterAutospacing="0" w:line="480" w:lineRule="exact"/>
              <w:rPr>
                <w:rFonts w:ascii="宋体" w:hAnsi="宋体" w:eastAsia="宋体"/>
                <w:color w:val="auto"/>
                <w:sz w:val="28"/>
                <w:szCs w:val="21"/>
                <w:highlight w:val="none"/>
              </w:rPr>
            </w:pPr>
          </w:p>
          <w:p>
            <w:pPr>
              <w:spacing w:line="480" w:lineRule="exact"/>
              <w:jc w:val="center"/>
              <w:rPr>
                <w:rFonts w:ascii="宋体" w:hAnsi="宋体"/>
                <w:color w:val="auto"/>
                <w:sz w:val="28"/>
                <w:szCs w:val="21"/>
                <w:highlight w:val="none"/>
              </w:rPr>
            </w:pPr>
            <w:r>
              <w:rPr>
                <w:rFonts w:hint="eastAsia" w:ascii="宋体" w:hAnsi="宋体"/>
                <w:color w:val="auto"/>
                <w:sz w:val="28"/>
                <w:szCs w:val="21"/>
                <w:highlight w:val="none"/>
              </w:rPr>
              <w:t>加盖供应商公章（供应商法定代表人或其授权代表签字）</w:t>
            </w:r>
          </w:p>
        </w:tc>
      </w:tr>
    </w:tbl>
    <w:p>
      <w:pPr>
        <w:pStyle w:val="24"/>
        <w:spacing w:line="460" w:lineRule="exact"/>
        <w:ind w:firstLine="0" w:firstLineChars="0"/>
        <w:jc w:val="center"/>
        <w:rPr>
          <w:rFonts w:ascii="宋体" w:hAnsi="宋体" w:cs="宋体"/>
          <w:b/>
          <w:bCs/>
          <w:color w:val="auto"/>
          <w:sz w:val="28"/>
          <w:szCs w:val="24"/>
          <w:highlight w:val="none"/>
        </w:rPr>
      </w:pPr>
    </w:p>
    <w:p>
      <w:pPr>
        <w:pStyle w:val="24"/>
        <w:spacing w:line="460" w:lineRule="exact"/>
        <w:ind w:firstLine="0" w:firstLineChars="0"/>
        <w:jc w:val="center"/>
        <w:rPr>
          <w:rFonts w:hint="eastAsia" w:ascii="宋体" w:hAnsi="宋体" w:cs="宋体"/>
          <w:b/>
          <w:bCs/>
          <w:color w:val="auto"/>
          <w:sz w:val="28"/>
          <w:szCs w:val="24"/>
          <w:highlight w:val="none"/>
        </w:rPr>
      </w:pPr>
      <w:r>
        <w:rPr>
          <w:rFonts w:hint="eastAsia" w:ascii="宋体" w:hAnsi="宋体" w:cs="宋体"/>
          <w:b/>
          <w:bCs/>
          <w:color w:val="auto"/>
          <w:sz w:val="28"/>
          <w:szCs w:val="24"/>
          <w:highlight w:val="none"/>
        </w:rPr>
        <w:t>—本页为最后一页—</w:t>
      </w:r>
    </w:p>
    <w:p>
      <w:pPr>
        <w:pStyle w:val="24"/>
        <w:spacing w:line="460" w:lineRule="exact"/>
        <w:ind w:firstLine="0" w:firstLineChars="0"/>
        <w:jc w:val="center"/>
        <w:rPr>
          <w:rFonts w:hint="eastAsia" w:ascii="宋体" w:hAnsi="宋体" w:cs="宋体"/>
          <w:b/>
          <w:bCs/>
          <w:color w:val="auto"/>
          <w:sz w:val="28"/>
          <w:szCs w:val="24"/>
          <w:highlight w:val="none"/>
        </w:rPr>
      </w:pPr>
    </w:p>
    <w:p>
      <w:pPr>
        <w:pStyle w:val="24"/>
        <w:spacing w:line="460" w:lineRule="exact"/>
        <w:ind w:firstLine="0" w:firstLineChars="0"/>
        <w:jc w:val="center"/>
        <w:rPr>
          <w:rFonts w:hint="eastAsia" w:ascii="宋体" w:hAnsi="宋体" w:cs="宋体"/>
          <w:b/>
          <w:bCs/>
          <w:color w:val="auto"/>
          <w:sz w:val="28"/>
          <w:szCs w:val="24"/>
          <w:highlight w:val="none"/>
        </w:rPr>
      </w:pPr>
    </w:p>
    <w:p>
      <w:pPr>
        <w:pStyle w:val="24"/>
        <w:spacing w:line="460" w:lineRule="exact"/>
        <w:ind w:firstLine="0" w:firstLineChars="0"/>
        <w:jc w:val="center"/>
        <w:rPr>
          <w:rFonts w:hint="eastAsia" w:ascii="宋体" w:hAnsi="宋体" w:cs="宋体"/>
          <w:b/>
          <w:bCs/>
          <w:color w:val="auto"/>
          <w:sz w:val="28"/>
          <w:szCs w:val="24"/>
          <w:highlight w:val="none"/>
        </w:rPr>
      </w:pPr>
    </w:p>
    <w:p>
      <w:pPr>
        <w:pStyle w:val="27"/>
        <w:ind w:firstLine="0" w:firstLineChars="0"/>
        <w:rPr>
          <w:rFonts w:ascii="宋体" w:hAnsi="宋体" w:cs="宋体"/>
          <w:b/>
          <w:bCs/>
          <w:color w:val="auto"/>
          <w:sz w:val="28"/>
          <w:szCs w:val="24"/>
          <w:highlight w:val="none"/>
        </w:rPr>
      </w:pPr>
    </w:p>
    <w:sectPr>
      <w:footerReference r:id="rId6" w:type="default"/>
      <w:pgSz w:w="11906" w:h="16838"/>
      <w:pgMar w:top="1191" w:right="1134" w:bottom="119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rPr>
        <w:rFonts w:hint="eastAsia"/>
        <w:sz w:val="2"/>
      </w:rPr>
      <w:t>不不垢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9EDEA"/>
    <w:multiLevelType w:val="singleLevel"/>
    <w:tmpl w:val="81C9EDEA"/>
    <w:lvl w:ilvl="0" w:tentative="0">
      <w:start w:val="1"/>
      <w:numFmt w:val="decimalEnclosedCircleChinese"/>
      <w:suff w:val="nothing"/>
      <w:lvlText w:val="%1　"/>
      <w:lvlJc w:val="left"/>
      <w:pPr>
        <w:ind w:left="0" w:firstLine="400"/>
      </w:pPr>
      <w:rPr>
        <w:rFonts w:hint="eastAsia"/>
      </w:rPr>
    </w:lvl>
  </w:abstractNum>
  <w:abstractNum w:abstractNumId="1">
    <w:nsid w:val="B5E306ED"/>
    <w:multiLevelType w:val="multilevel"/>
    <w:tmpl w:val="B5E306ED"/>
    <w:lvl w:ilvl="0" w:tentative="0">
      <w:start w:val="0"/>
      <w:numFmt w:val="bullet"/>
      <w:lvlText w:val="■"/>
      <w:lvlJc w:val="left"/>
      <w:pPr>
        <w:ind w:left="348" w:hanging="241"/>
      </w:pPr>
      <w:rPr>
        <w:rFonts w:hint="default" w:ascii="宋体" w:hAnsi="宋体" w:eastAsia="宋体" w:cs="宋体"/>
        <w:w w:val="100"/>
        <w:sz w:val="22"/>
        <w:szCs w:val="22"/>
      </w:rPr>
    </w:lvl>
    <w:lvl w:ilvl="1" w:tentative="0">
      <w:start w:val="0"/>
      <w:numFmt w:val="bullet"/>
      <w:lvlText w:val="•"/>
      <w:lvlJc w:val="left"/>
      <w:pPr>
        <w:ind w:left="872" w:hanging="241"/>
      </w:pPr>
      <w:rPr>
        <w:rFonts w:hint="default"/>
      </w:rPr>
    </w:lvl>
    <w:lvl w:ilvl="2" w:tentative="0">
      <w:start w:val="0"/>
      <w:numFmt w:val="bullet"/>
      <w:lvlText w:val="•"/>
      <w:lvlJc w:val="left"/>
      <w:pPr>
        <w:ind w:left="1404" w:hanging="241"/>
      </w:pPr>
      <w:rPr>
        <w:rFonts w:hint="default"/>
      </w:rPr>
    </w:lvl>
    <w:lvl w:ilvl="3" w:tentative="0">
      <w:start w:val="0"/>
      <w:numFmt w:val="bullet"/>
      <w:lvlText w:val="•"/>
      <w:lvlJc w:val="left"/>
      <w:pPr>
        <w:ind w:left="1936" w:hanging="241"/>
      </w:pPr>
      <w:rPr>
        <w:rFonts w:hint="default"/>
      </w:rPr>
    </w:lvl>
    <w:lvl w:ilvl="4" w:tentative="0">
      <w:start w:val="0"/>
      <w:numFmt w:val="bullet"/>
      <w:lvlText w:val="•"/>
      <w:lvlJc w:val="left"/>
      <w:pPr>
        <w:ind w:left="2468" w:hanging="241"/>
      </w:pPr>
      <w:rPr>
        <w:rFonts w:hint="default"/>
      </w:rPr>
    </w:lvl>
    <w:lvl w:ilvl="5" w:tentative="0">
      <w:start w:val="0"/>
      <w:numFmt w:val="bullet"/>
      <w:lvlText w:val="•"/>
      <w:lvlJc w:val="left"/>
      <w:pPr>
        <w:ind w:left="3000" w:hanging="241"/>
      </w:pPr>
      <w:rPr>
        <w:rFonts w:hint="default"/>
      </w:rPr>
    </w:lvl>
    <w:lvl w:ilvl="6" w:tentative="0">
      <w:start w:val="0"/>
      <w:numFmt w:val="bullet"/>
      <w:lvlText w:val="•"/>
      <w:lvlJc w:val="left"/>
      <w:pPr>
        <w:ind w:left="3532" w:hanging="241"/>
      </w:pPr>
      <w:rPr>
        <w:rFonts w:hint="default"/>
      </w:rPr>
    </w:lvl>
    <w:lvl w:ilvl="7" w:tentative="0">
      <w:start w:val="0"/>
      <w:numFmt w:val="bullet"/>
      <w:lvlText w:val="•"/>
      <w:lvlJc w:val="left"/>
      <w:pPr>
        <w:ind w:left="4064" w:hanging="241"/>
      </w:pPr>
      <w:rPr>
        <w:rFonts w:hint="default"/>
      </w:rPr>
    </w:lvl>
    <w:lvl w:ilvl="8" w:tentative="0">
      <w:start w:val="0"/>
      <w:numFmt w:val="bullet"/>
      <w:lvlText w:val="•"/>
      <w:lvlJc w:val="left"/>
      <w:pPr>
        <w:ind w:left="4596" w:hanging="241"/>
      </w:pPr>
      <w:rPr>
        <w:rFonts w:hint="default"/>
      </w:rPr>
    </w:lvl>
  </w:abstractNum>
  <w:abstractNum w:abstractNumId="2">
    <w:nsid w:val="B61D5395"/>
    <w:multiLevelType w:val="singleLevel"/>
    <w:tmpl w:val="B61D5395"/>
    <w:lvl w:ilvl="0" w:tentative="0">
      <w:start w:val="1"/>
      <w:numFmt w:val="decimal"/>
      <w:suff w:val="nothing"/>
      <w:lvlText w:val="（%1）"/>
      <w:lvlJc w:val="left"/>
    </w:lvl>
  </w:abstractNum>
  <w:abstractNum w:abstractNumId="3">
    <w:nsid w:val="BF205925"/>
    <w:multiLevelType w:val="multilevel"/>
    <w:tmpl w:val="BF205925"/>
    <w:lvl w:ilvl="0" w:tentative="0">
      <w:start w:val="0"/>
      <w:numFmt w:val="bullet"/>
      <w:lvlText w:val="■"/>
      <w:lvlJc w:val="left"/>
      <w:pPr>
        <w:ind w:left="348" w:hanging="241"/>
      </w:pPr>
      <w:rPr>
        <w:rFonts w:hint="default" w:ascii="宋体" w:hAnsi="宋体" w:eastAsia="宋体" w:cs="宋体"/>
        <w:w w:val="100"/>
        <w:sz w:val="22"/>
        <w:szCs w:val="22"/>
      </w:rPr>
    </w:lvl>
    <w:lvl w:ilvl="1" w:tentative="0">
      <w:start w:val="0"/>
      <w:numFmt w:val="bullet"/>
      <w:lvlText w:val="•"/>
      <w:lvlJc w:val="left"/>
      <w:pPr>
        <w:ind w:left="872" w:hanging="241"/>
      </w:pPr>
      <w:rPr>
        <w:rFonts w:hint="default"/>
      </w:rPr>
    </w:lvl>
    <w:lvl w:ilvl="2" w:tentative="0">
      <w:start w:val="0"/>
      <w:numFmt w:val="bullet"/>
      <w:lvlText w:val="•"/>
      <w:lvlJc w:val="left"/>
      <w:pPr>
        <w:ind w:left="1404" w:hanging="241"/>
      </w:pPr>
      <w:rPr>
        <w:rFonts w:hint="default"/>
      </w:rPr>
    </w:lvl>
    <w:lvl w:ilvl="3" w:tentative="0">
      <w:start w:val="0"/>
      <w:numFmt w:val="bullet"/>
      <w:lvlText w:val="•"/>
      <w:lvlJc w:val="left"/>
      <w:pPr>
        <w:ind w:left="1936" w:hanging="241"/>
      </w:pPr>
      <w:rPr>
        <w:rFonts w:hint="default"/>
      </w:rPr>
    </w:lvl>
    <w:lvl w:ilvl="4" w:tentative="0">
      <w:start w:val="0"/>
      <w:numFmt w:val="bullet"/>
      <w:lvlText w:val="•"/>
      <w:lvlJc w:val="left"/>
      <w:pPr>
        <w:ind w:left="2468" w:hanging="241"/>
      </w:pPr>
      <w:rPr>
        <w:rFonts w:hint="default"/>
      </w:rPr>
    </w:lvl>
    <w:lvl w:ilvl="5" w:tentative="0">
      <w:start w:val="0"/>
      <w:numFmt w:val="bullet"/>
      <w:lvlText w:val="•"/>
      <w:lvlJc w:val="left"/>
      <w:pPr>
        <w:ind w:left="3000" w:hanging="241"/>
      </w:pPr>
      <w:rPr>
        <w:rFonts w:hint="default"/>
      </w:rPr>
    </w:lvl>
    <w:lvl w:ilvl="6" w:tentative="0">
      <w:start w:val="0"/>
      <w:numFmt w:val="bullet"/>
      <w:lvlText w:val="•"/>
      <w:lvlJc w:val="left"/>
      <w:pPr>
        <w:ind w:left="3532" w:hanging="241"/>
      </w:pPr>
      <w:rPr>
        <w:rFonts w:hint="default"/>
      </w:rPr>
    </w:lvl>
    <w:lvl w:ilvl="7" w:tentative="0">
      <w:start w:val="0"/>
      <w:numFmt w:val="bullet"/>
      <w:lvlText w:val="•"/>
      <w:lvlJc w:val="left"/>
      <w:pPr>
        <w:ind w:left="4064" w:hanging="241"/>
      </w:pPr>
      <w:rPr>
        <w:rFonts w:hint="default"/>
      </w:rPr>
    </w:lvl>
    <w:lvl w:ilvl="8" w:tentative="0">
      <w:start w:val="0"/>
      <w:numFmt w:val="bullet"/>
      <w:lvlText w:val="•"/>
      <w:lvlJc w:val="left"/>
      <w:pPr>
        <w:ind w:left="4596" w:hanging="241"/>
      </w:pPr>
      <w:rPr>
        <w:rFonts w:hint="default"/>
      </w:rPr>
    </w:lvl>
  </w:abstractNum>
  <w:abstractNum w:abstractNumId="4">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japaneseCounting"/>
      <w:lvlText w:val="第%2章"/>
      <w:lvlJc w:val="left"/>
      <w:pPr>
        <w:tabs>
          <w:tab w:val="left" w:pos="1860"/>
        </w:tabs>
        <w:ind w:left="1860" w:hanging="9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21"/>
    <w:multiLevelType w:val="multilevel"/>
    <w:tmpl w:val="0000002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091275E"/>
    <w:multiLevelType w:val="singleLevel"/>
    <w:tmpl w:val="1091275E"/>
    <w:lvl w:ilvl="0" w:tentative="0">
      <w:start w:val="1"/>
      <w:numFmt w:val="decimalEnclosedCircleChinese"/>
      <w:suff w:val="nothing"/>
      <w:lvlText w:val="%1　"/>
      <w:lvlJc w:val="left"/>
      <w:pPr>
        <w:ind w:left="0" w:firstLine="400"/>
      </w:pPr>
      <w:rPr>
        <w:rFonts w:hint="eastAsia"/>
      </w:rPr>
    </w:lvl>
  </w:abstractNum>
  <w:abstractNum w:abstractNumId="7">
    <w:nsid w:val="180760EA"/>
    <w:multiLevelType w:val="singleLevel"/>
    <w:tmpl w:val="180760EA"/>
    <w:lvl w:ilvl="0" w:tentative="0">
      <w:start w:val="1"/>
      <w:numFmt w:val="chineseCounting"/>
      <w:suff w:val="nothing"/>
      <w:lvlText w:val="%1、"/>
      <w:lvlJc w:val="left"/>
      <w:rPr>
        <w:rFonts w:hint="eastAsia"/>
      </w:rPr>
    </w:lvl>
  </w:abstractNum>
  <w:abstractNum w:abstractNumId="8">
    <w:nsid w:val="1BCD29E0"/>
    <w:multiLevelType w:val="singleLevel"/>
    <w:tmpl w:val="1BCD29E0"/>
    <w:lvl w:ilvl="0" w:tentative="0">
      <w:start w:val="2"/>
      <w:numFmt w:val="decimal"/>
      <w:suff w:val="space"/>
      <w:lvlText w:val="%1、"/>
      <w:lvlJc w:val="left"/>
      <w:pPr>
        <w:ind w:left="105" w:firstLine="0"/>
      </w:pPr>
    </w:lvl>
  </w:abstractNum>
  <w:abstractNum w:abstractNumId="9">
    <w:nsid w:val="1F8DB926"/>
    <w:multiLevelType w:val="singleLevel"/>
    <w:tmpl w:val="1F8DB926"/>
    <w:lvl w:ilvl="0" w:tentative="0">
      <w:start w:val="1"/>
      <w:numFmt w:val="decimal"/>
      <w:lvlText w:val="%1."/>
      <w:lvlJc w:val="left"/>
      <w:pPr>
        <w:ind w:left="425" w:hanging="425"/>
      </w:pPr>
      <w:rPr>
        <w:rFonts w:hint="default"/>
      </w:rPr>
    </w:lvl>
  </w:abstractNum>
  <w:abstractNum w:abstractNumId="10">
    <w:nsid w:val="43D0F3F2"/>
    <w:multiLevelType w:val="singleLevel"/>
    <w:tmpl w:val="43D0F3F2"/>
    <w:lvl w:ilvl="0" w:tentative="0">
      <w:start w:val="16"/>
      <w:numFmt w:val="decimal"/>
      <w:lvlText w:val="%1."/>
      <w:lvlJc w:val="left"/>
      <w:pPr>
        <w:tabs>
          <w:tab w:val="left" w:pos="312"/>
        </w:tabs>
      </w:pPr>
    </w:lvl>
  </w:abstractNum>
  <w:abstractNum w:abstractNumId="11">
    <w:nsid w:val="463B6860"/>
    <w:multiLevelType w:val="singleLevel"/>
    <w:tmpl w:val="463B6860"/>
    <w:lvl w:ilvl="0" w:tentative="0">
      <w:start w:val="1"/>
      <w:numFmt w:val="decimalEnclosedCircleChinese"/>
      <w:suff w:val="nothing"/>
      <w:lvlText w:val="%1　"/>
      <w:lvlJc w:val="left"/>
      <w:pPr>
        <w:ind w:left="0" w:firstLine="400"/>
      </w:pPr>
      <w:rPr>
        <w:rFonts w:hint="eastAsia"/>
      </w:rPr>
    </w:lvl>
  </w:abstractNum>
  <w:abstractNum w:abstractNumId="12">
    <w:nsid w:val="59ADCABA"/>
    <w:multiLevelType w:val="multilevel"/>
    <w:tmpl w:val="59ADCABA"/>
    <w:lvl w:ilvl="0" w:tentative="0">
      <w:start w:val="0"/>
      <w:numFmt w:val="bullet"/>
      <w:lvlText w:val="■"/>
      <w:lvlJc w:val="left"/>
      <w:pPr>
        <w:ind w:left="348" w:hanging="241"/>
      </w:pPr>
      <w:rPr>
        <w:rFonts w:hint="default" w:ascii="宋体" w:hAnsi="宋体" w:eastAsia="宋体" w:cs="宋体"/>
        <w:w w:val="100"/>
        <w:sz w:val="22"/>
        <w:szCs w:val="22"/>
      </w:rPr>
    </w:lvl>
    <w:lvl w:ilvl="1" w:tentative="0">
      <w:start w:val="0"/>
      <w:numFmt w:val="bullet"/>
      <w:lvlText w:val="•"/>
      <w:lvlJc w:val="left"/>
      <w:pPr>
        <w:ind w:left="872" w:hanging="241"/>
      </w:pPr>
      <w:rPr>
        <w:rFonts w:hint="default"/>
      </w:rPr>
    </w:lvl>
    <w:lvl w:ilvl="2" w:tentative="0">
      <w:start w:val="0"/>
      <w:numFmt w:val="bullet"/>
      <w:lvlText w:val="•"/>
      <w:lvlJc w:val="left"/>
      <w:pPr>
        <w:ind w:left="1404" w:hanging="241"/>
      </w:pPr>
      <w:rPr>
        <w:rFonts w:hint="default"/>
      </w:rPr>
    </w:lvl>
    <w:lvl w:ilvl="3" w:tentative="0">
      <w:start w:val="0"/>
      <w:numFmt w:val="bullet"/>
      <w:lvlText w:val="•"/>
      <w:lvlJc w:val="left"/>
      <w:pPr>
        <w:ind w:left="1936" w:hanging="241"/>
      </w:pPr>
      <w:rPr>
        <w:rFonts w:hint="default"/>
      </w:rPr>
    </w:lvl>
    <w:lvl w:ilvl="4" w:tentative="0">
      <w:start w:val="0"/>
      <w:numFmt w:val="bullet"/>
      <w:lvlText w:val="•"/>
      <w:lvlJc w:val="left"/>
      <w:pPr>
        <w:ind w:left="2468" w:hanging="241"/>
      </w:pPr>
      <w:rPr>
        <w:rFonts w:hint="default"/>
      </w:rPr>
    </w:lvl>
    <w:lvl w:ilvl="5" w:tentative="0">
      <w:start w:val="0"/>
      <w:numFmt w:val="bullet"/>
      <w:lvlText w:val="•"/>
      <w:lvlJc w:val="left"/>
      <w:pPr>
        <w:ind w:left="3000" w:hanging="241"/>
      </w:pPr>
      <w:rPr>
        <w:rFonts w:hint="default"/>
      </w:rPr>
    </w:lvl>
    <w:lvl w:ilvl="6" w:tentative="0">
      <w:start w:val="0"/>
      <w:numFmt w:val="bullet"/>
      <w:lvlText w:val="•"/>
      <w:lvlJc w:val="left"/>
      <w:pPr>
        <w:ind w:left="3532" w:hanging="241"/>
      </w:pPr>
      <w:rPr>
        <w:rFonts w:hint="default"/>
      </w:rPr>
    </w:lvl>
    <w:lvl w:ilvl="7" w:tentative="0">
      <w:start w:val="0"/>
      <w:numFmt w:val="bullet"/>
      <w:lvlText w:val="•"/>
      <w:lvlJc w:val="left"/>
      <w:pPr>
        <w:ind w:left="4064" w:hanging="241"/>
      </w:pPr>
      <w:rPr>
        <w:rFonts w:hint="default"/>
      </w:rPr>
    </w:lvl>
    <w:lvl w:ilvl="8" w:tentative="0">
      <w:start w:val="0"/>
      <w:numFmt w:val="bullet"/>
      <w:lvlText w:val="•"/>
      <w:lvlJc w:val="left"/>
      <w:pPr>
        <w:ind w:left="4596" w:hanging="241"/>
      </w:pPr>
      <w:rPr>
        <w:rFonts w:hint="default"/>
      </w:rPr>
    </w:lvl>
  </w:abstractNum>
  <w:abstractNum w:abstractNumId="13">
    <w:nsid w:val="7FDDD380"/>
    <w:multiLevelType w:val="singleLevel"/>
    <w:tmpl w:val="7FDDD380"/>
    <w:lvl w:ilvl="0" w:tentative="0">
      <w:start w:val="1"/>
      <w:numFmt w:val="decimal"/>
      <w:suff w:val="nothing"/>
      <w:lvlText w:val="（%1）"/>
      <w:lvlJc w:val="left"/>
    </w:lvl>
  </w:abstractNum>
  <w:num w:numId="1">
    <w:abstractNumId w:val="6"/>
  </w:num>
  <w:num w:numId="2">
    <w:abstractNumId w:val="9"/>
  </w:num>
  <w:num w:numId="3">
    <w:abstractNumId w:val="12"/>
  </w:num>
  <w:num w:numId="4">
    <w:abstractNumId w:val="3"/>
  </w:num>
  <w:num w:numId="5">
    <w:abstractNumId w:val="1"/>
  </w:num>
  <w:num w:numId="6">
    <w:abstractNumId w:val="4"/>
  </w:num>
  <w:num w:numId="7">
    <w:abstractNumId w:val="11"/>
  </w:num>
  <w:num w:numId="8">
    <w:abstractNumId w:val="0"/>
  </w:num>
  <w:num w:numId="9">
    <w:abstractNumId w:val="10"/>
  </w:num>
  <w:num w:numId="10">
    <w:abstractNumId w:val="5"/>
  </w:num>
  <w:num w:numId="11">
    <w:abstractNumId w:val="8"/>
  </w:num>
  <w:num w:numId="12">
    <w:abstractNumId w:val="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2DED"/>
    <w:rsid w:val="00003EE0"/>
    <w:rsid w:val="00034125"/>
    <w:rsid w:val="00051F8F"/>
    <w:rsid w:val="000777F3"/>
    <w:rsid w:val="00084CFF"/>
    <w:rsid w:val="00094800"/>
    <w:rsid w:val="000A61B8"/>
    <w:rsid w:val="0011327F"/>
    <w:rsid w:val="00127160"/>
    <w:rsid w:val="00127405"/>
    <w:rsid w:val="00133971"/>
    <w:rsid w:val="001763C8"/>
    <w:rsid w:val="00190027"/>
    <w:rsid w:val="001A40E6"/>
    <w:rsid w:val="00204475"/>
    <w:rsid w:val="0021393C"/>
    <w:rsid w:val="00217403"/>
    <w:rsid w:val="0028565E"/>
    <w:rsid w:val="002B5B1C"/>
    <w:rsid w:val="002D51A2"/>
    <w:rsid w:val="00316F85"/>
    <w:rsid w:val="0032553E"/>
    <w:rsid w:val="00333F53"/>
    <w:rsid w:val="00342DED"/>
    <w:rsid w:val="003A03D9"/>
    <w:rsid w:val="003D68D3"/>
    <w:rsid w:val="003D7640"/>
    <w:rsid w:val="00404D31"/>
    <w:rsid w:val="00446695"/>
    <w:rsid w:val="004560D3"/>
    <w:rsid w:val="004B4849"/>
    <w:rsid w:val="004C1C4A"/>
    <w:rsid w:val="00522DF0"/>
    <w:rsid w:val="005600E7"/>
    <w:rsid w:val="0058398A"/>
    <w:rsid w:val="00593EAD"/>
    <w:rsid w:val="005C142E"/>
    <w:rsid w:val="005E18DC"/>
    <w:rsid w:val="00632C8F"/>
    <w:rsid w:val="00634A9A"/>
    <w:rsid w:val="006771ED"/>
    <w:rsid w:val="00692120"/>
    <w:rsid w:val="006D56DD"/>
    <w:rsid w:val="006E649E"/>
    <w:rsid w:val="006F58A1"/>
    <w:rsid w:val="00725B4D"/>
    <w:rsid w:val="00732F70"/>
    <w:rsid w:val="00796E08"/>
    <w:rsid w:val="00796F1E"/>
    <w:rsid w:val="007A3AA4"/>
    <w:rsid w:val="007C59CC"/>
    <w:rsid w:val="007F749D"/>
    <w:rsid w:val="008063CA"/>
    <w:rsid w:val="0089161A"/>
    <w:rsid w:val="008D068B"/>
    <w:rsid w:val="00922850"/>
    <w:rsid w:val="00924DF0"/>
    <w:rsid w:val="00971D6C"/>
    <w:rsid w:val="00974764"/>
    <w:rsid w:val="00A04A40"/>
    <w:rsid w:val="00A56233"/>
    <w:rsid w:val="00AA2839"/>
    <w:rsid w:val="00AB52D1"/>
    <w:rsid w:val="00AC2CFE"/>
    <w:rsid w:val="00AF4E02"/>
    <w:rsid w:val="00B1673D"/>
    <w:rsid w:val="00B370A4"/>
    <w:rsid w:val="00B64F12"/>
    <w:rsid w:val="00B726EF"/>
    <w:rsid w:val="00C405FF"/>
    <w:rsid w:val="00C42E56"/>
    <w:rsid w:val="00C61248"/>
    <w:rsid w:val="00CA1B1A"/>
    <w:rsid w:val="00CA4219"/>
    <w:rsid w:val="00CC47B3"/>
    <w:rsid w:val="00D0721C"/>
    <w:rsid w:val="00D07E5C"/>
    <w:rsid w:val="00DB1F17"/>
    <w:rsid w:val="00DD2429"/>
    <w:rsid w:val="00E123E1"/>
    <w:rsid w:val="00E157CC"/>
    <w:rsid w:val="00E349E2"/>
    <w:rsid w:val="00EA0737"/>
    <w:rsid w:val="00EB6940"/>
    <w:rsid w:val="00EF05A1"/>
    <w:rsid w:val="00F34382"/>
    <w:rsid w:val="00F35CB8"/>
    <w:rsid w:val="00F473CC"/>
    <w:rsid w:val="00F52CB9"/>
    <w:rsid w:val="00FA5EDB"/>
    <w:rsid w:val="01111629"/>
    <w:rsid w:val="01327BC7"/>
    <w:rsid w:val="01347B7B"/>
    <w:rsid w:val="01375B40"/>
    <w:rsid w:val="014F4B6E"/>
    <w:rsid w:val="01556FB8"/>
    <w:rsid w:val="015F63E6"/>
    <w:rsid w:val="01601B42"/>
    <w:rsid w:val="017D0BF3"/>
    <w:rsid w:val="017F3E16"/>
    <w:rsid w:val="0187464E"/>
    <w:rsid w:val="018B5197"/>
    <w:rsid w:val="01912CA3"/>
    <w:rsid w:val="019264A3"/>
    <w:rsid w:val="01A615B2"/>
    <w:rsid w:val="01A64D90"/>
    <w:rsid w:val="01B01C39"/>
    <w:rsid w:val="01B45766"/>
    <w:rsid w:val="01C10B14"/>
    <w:rsid w:val="01CA6AF3"/>
    <w:rsid w:val="01CC61B3"/>
    <w:rsid w:val="01D97449"/>
    <w:rsid w:val="01F029E5"/>
    <w:rsid w:val="020505F8"/>
    <w:rsid w:val="02170CA3"/>
    <w:rsid w:val="021B4DCC"/>
    <w:rsid w:val="02243249"/>
    <w:rsid w:val="02406F79"/>
    <w:rsid w:val="025D0881"/>
    <w:rsid w:val="026D6040"/>
    <w:rsid w:val="027E3A1B"/>
    <w:rsid w:val="02B3665B"/>
    <w:rsid w:val="02B774EE"/>
    <w:rsid w:val="02BA5EAD"/>
    <w:rsid w:val="02C0333E"/>
    <w:rsid w:val="02C44409"/>
    <w:rsid w:val="02C46C51"/>
    <w:rsid w:val="02D14157"/>
    <w:rsid w:val="02DD19A5"/>
    <w:rsid w:val="02DD5B2A"/>
    <w:rsid w:val="02DE504F"/>
    <w:rsid w:val="02DE7034"/>
    <w:rsid w:val="02ED7FEB"/>
    <w:rsid w:val="02EF6546"/>
    <w:rsid w:val="02F57BAA"/>
    <w:rsid w:val="02F930F4"/>
    <w:rsid w:val="0306281B"/>
    <w:rsid w:val="030B7469"/>
    <w:rsid w:val="03112887"/>
    <w:rsid w:val="03282B07"/>
    <w:rsid w:val="032E4559"/>
    <w:rsid w:val="033A750C"/>
    <w:rsid w:val="0341575A"/>
    <w:rsid w:val="036C2FC2"/>
    <w:rsid w:val="036D27BF"/>
    <w:rsid w:val="03711A84"/>
    <w:rsid w:val="038327CC"/>
    <w:rsid w:val="03A22552"/>
    <w:rsid w:val="03A57303"/>
    <w:rsid w:val="03B34799"/>
    <w:rsid w:val="03C552C0"/>
    <w:rsid w:val="03C629BE"/>
    <w:rsid w:val="03C81E81"/>
    <w:rsid w:val="03CB37FE"/>
    <w:rsid w:val="03D2535B"/>
    <w:rsid w:val="03E048D4"/>
    <w:rsid w:val="03E947FF"/>
    <w:rsid w:val="03EC49A2"/>
    <w:rsid w:val="03EE2DCF"/>
    <w:rsid w:val="03F15A47"/>
    <w:rsid w:val="0411025F"/>
    <w:rsid w:val="041456AA"/>
    <w:rsid w:val="04150B6A"/>
    <w:rsid w:val="04164F07"/>
    <w:rsid w:val="04207A3D"/>
    <w:rsid w:val="042B0321"/>
    <w:rsid w:val="042C12FF"/>
    <w:rsid w:val="042F4723"/>
    <w:rsid w:val="043E29E6"/>
    <w:rsid w:val="044B26AF"/>
    <w:rsid w:val="04600B4D"/>
    <w:rsid w:val="047B3FDA"/>
    <w:rsid w:val="04862C87"/>
    <w:rsid w:val="04940B3F"/>
    <w:rsid w:val="04984E5F"/>
    <w:rsid w:val="049B3241"/>
    <w:rsid w:val="04AC322A"/>
    <w:rsid w:val="04B5054D"/>
    <w:rsid w:val="04C86B45"/>
    <w:rsid w:val="04CE5BBB"/>
    <w:rsid w:val="04E145DB"/>
    <w:rsid w:val="04E43F3C"/>
    <w:rsid w:val="04E54F16"/>
    <w:rsid w:val="04EA52ED"/>
    <w:rsid w:val="051A12D1"/>
    <w:rsid w:val="051B6D85"/>
    <w:rsid w:val="052C137D"/>
    <w:rsid w:val="05304C94"/>
    <w:rsid w:val="053A5372"/>
    <w:rsid w:val="053B6B43"/>
    <w:rsid w:val="053D1901"/>
    <w:rsid w:val="057B277B"/>
    <w:rsid w:val="05813EC0"/>
    <w:rsid w:val="05872B94"/>
    <w:rsid w:val="05963B96"/>
    <w:rsid w:val="059A2F0F"/>
    <w:rsid w:val="05A06193"/>
    <w:rsid w:val="05C83FDA"/>
    <w:rsid w:val="05D066CA"/>
    <w:rsid w:val="05FB1972"/>
    <w:rsid w:val="060B2ACD"/>
    <w:rsid w:val="06226C4B"/>
    <w:rsid w:val="063025D9"/>
    <w:rsid w:val="065B3F9C"/>
    <w:rsid w:val="065D08EC"/>
    <w:rsid w:val="06601559"/>
    <w:rsid w:val="06671A96"/>
    <w:rsid w:val="067A39D2"/>
    <w:rsid w:val="068228EB"/>
    <w:rsid w:val="068F746D"/>
    <w:rsid w:val="069D2374"/>
    <w:rsid w:val="06AC619E"/>
    <w:rsid w:val="06B54D6D"/>
    <w:rsid w:val="06BE3778"/>
    <w:rsid w:val="06C90EF9"/>
    <w:rsid w:val="06D00F03"/>
    <w:rsid w:val="06D8329A"/>
    <w:rsid w:val="06E6172D"/>
    <w:rsid w:val="06FC78FC"/>
    <w:rsid w:val="071A7757"/>
    <w:rsid w:val="0720219E"/>
    <w:rsid w:val="07283B3A"/>
    <w:rsid w:val="073E7650"/>
    <w:rsid w:val="07645FC0"/>
    <w:rsid w:val="076E7B47"/>
    <w:rsid w:val="077B7212"/>
    <w:rsid w:val="077F3641"/>
    <w:rsid w:val="079F22F2"/>
    <w:rsid w:val="079F549F"/>
    <w:rsid w:val="07B02CB1"/>
    <w:rsid w:val="07B07D1C"/>
    <w:rsid w:val="07B87794"/>
    <w:rsid w:val="07C8292A"/>
    <w:rsid w:val="07D823AD"/>
    <w:rsid w:val="07FE0E9C"/>
    <w:rsid w:val="0800109C"/>
    <w:rsid w:val="0803114A"/>
    <w:rsid w:val="08147329"/>
    <w:rsid w:val="08154C38"/>
    <w:rsid w:val="082039BC"/>
    <w:rsid w:val="082670B8"/>
    <w:rsid w:val="083A7FDB"/>
    <w:rsid w:val="085005AB"/>
    <w:rsid w:val="08590414"/>
    <w:rsid w:val="087545A3"/>
    <w:rsid w:val="088D70FE"/>
    <w:rsid w:val="08941C18"/>
    <w:rsid w:val="08992AD3"/>
    <w:rsid w:val="08AF56E1"/>
    <w:rsid w:val="08B80262"/>
    <w:rsid w:val="08BF311A"/>
    <w:rsid w:val="08C775E0"/>
    <w:rsid w:val="08D40DF7"/>
    <w:rsid w:val="08DB718F"/>
    <w:rsid w:val="09054309"/>
    <w:rsid w:val="090544EE"/>
    <w:rsid w:val="091F1EB8"/>
    <w:rsid w:val="0920233E"/>
    <w:rsid w:val="09203957"/>
    <w:rsid w:val="092741F3"/>
    <w:rsid w:val="09314A4F"/>
    <w:rsid w:val="09464BAD"/>
    <w:rsid w:val="09726F8F"/>
    <w:rsid w:val="097824A0"/>
    <w:rsid w:val="097D1BEA"/>
    <w:rsid w:val="097F56D4"/>
    <w:rsid w:val="09851AB1"/>
    <w:rsid w:val="09885F77"/>
    <w:rsid w:val="09A44929"/>
    <w:rsid w:val="09A55A42"/>
    <w:rsid w:val="09A903C8"/>
    <w:rsid w:val="09BA5336"/>
    <w:rsid w:val="09C92B73"/>
    <w:rsid w:val="09D41C55"/>
    <w:rsid w:val="09D549A9"/>
    <w:rsid w:val="09E5630F"/>
    <w:rsid w:val="09E929AD"/>
    <w:rsid w:val="09EF512A"/>
    <w:rsid w:val="09F44F89"/>
    <w:rsid w:val="0A041A5F"/>
    <w:rsid w:val="0A174925"/>
    <w:rsid w:val="0A23716A"/>
    <w:rsid w:val="0A386BB8"/>
    <w:rsid w:val="0A510907"/>
    <w:rsid w:val="0A551F6B"/>
    <w:rsid w:val="0A6649F0"/>
    <w:rsid w:val="0A775E24"/>
    <w:rsid w:val="0A887462"/>
    <w:rsid w:val="0AA8654E"/>
    <w:rsid w:val="0AB4342A"/>
    <w:rsid w:val="0AB448DA"/>
    <w:rsid w:val="0AD00BD0"/>
    <w:rsid w:val="0ADC0930"/>
    <w:rsid w:val="0AEA5A1E"/>
    <w:rsid w:val="0B0561D2"/>
    <w:rsid w:val="0B190378"/>
    <w:rsid w:val="0B362B77"/>
    <w:rsid w:val="0B3639C4"/>
    <w:rsid w:val="0B5642B8"/>
    <w:rsid w:val="0B5C44E7"/>
    <w:rsid w:val="0B6A0926"/>
    <w:rsid w:val="0B9465A9"/>
    <w:rsid w:val="0BA705C8"/>
    <w:rsid w:val="0BAD2377"/>
    <w:rsid w:val="0BB30E75"/>
    <w:rsid w:val="0BC43E43"/>
    <w:rsid w:val="0BDC33DE"/>
    <w:rsid w:val="0BDC79FD"/>
    <w:rsid w:val="0BDF2DAA"/>
    <w:rsid w:val="0BE158FC"/>
    <w:rsid w:val="0BE35E37"/>
    <w:rsid w:val="0BEC19E2"/>
    <w:rsid w:val="0C0A44D0"/>
    <w:rsid w:val="0C0A5EC6"/>
    <w:rsid w:val="0C174BE9"/>
    <w:rsid w:val="0C1941EB"/>
    <w:rsid w:val="0C3612D4"/>
    <w:rsid w:val="0C3C0D5B"/>
    <w:rsid w:val="0C4A7A19"/>
    <w:rsid w:val="0C516DA6"/>
    <w:rsid w:val="0C5560F3"/>
    <w:rsid w:val="0C63533C"/>
    <w:rsid w:val="0C65763C"/>
    <w:rsid w:val="0C7D797B"/>
    <w:rsid w:val="0C8C7E25"/>
    <w:rsid w:val="0C9A15DE"/>
    <w:rsid w:val="0CA17712"/>
    <w:rsid w:val="0CBD73F6"/>
    <w:rsid w:val="0CBF6449"/>
    <w:rsid w:val="0CC63AD4"/>
    <w:rsid w:val="0CCD6B40"/>
    <w:rsid w:val="0CD56F3D"/>
    <w:rsid w:val="0CDC2E91"/>
    <w:rsid w:val="0CE671A4"/>
    <w:rsid w:val="0D0960A0"/>
    <w:rsid w:val="0D2B129B"/>
    <w:rsid w:val="0D3B39E6"/>
    <w:rsid w:val="0D3E2708"/>
    <w:rsid w:val="0D466155"/>
    <w:rsid w:val="0D4752DB"/>
    <w:rsid w:val="0D545E40"/>
    <w:rsid w:val="0D640D0D"/>
    <w:rsid w:val="0D6506F5"/>
    <w:rsid w:val="0D7A0383"/>
    <w:rsid w:val="0D7D0778"/>
    <w:rsid w:val="0DB755A2"/>
    <w:rsid w:val="0DBC60D2"/>
    <w:rsid w:val="0DC914F9"/>
    <w:rsid w:val="0DD37B5D"/>
    <w:rsid w:val="0DDA048D"/>
    <w:rsid w:val="0DF35232"/>
    <w:rsid w:val="0DF66014"/>
    <w:rsid w:val="0E09014D"/>
    <w:rsid w:val="0E1779BA"/>
    <w:rsid w:val="0E2D0EC6"/>
    <w:rsid w:val="0E530D54"/>
    <w:rsid w:val="0E6A0B1D"/>
    <w:rsid w:val="0E835FEB"/>
    <w:rsid w:val="0EA17534"/>
    <w:rsid w:val="0EA940A8"/>
    <w:rsid w:val="0ECD26D9"/>
    <w:rsid w:val="0ECE3C10"/>
    <w:rsid w:val="0ED70451"/>
    <w:rsid w:val="0EDF0BCD"/>
    <w:rsid w:val="0EF57500"/>
    <w:rsid w:val="0EFC3447"/>
    <w:rsid w:val="0F20789B"/>
    <w:rsid w:val="0F21632C"/>
    <w:rsid w:val="0F2212AE"/>
    <w:rsid w:val="0F2D6D19"/>
    <w:rsid w:val="0F3D12FC"/>
    <w:rsid w:val="0F40599D"/>
    <w:rsid w:val="0F5A7023"/>
    <w:rsid w:val="0F5F438A"/>
    <w:rsid w:val="0F622B68"/>
    <w:rsid w:val="0F676042"/>
    <w:rsid w:val="0F6E178E"/>
    <w:rsid w:val="0F6E3726"/>
    <w:rsid w:val="0F732951"/>
    <w:rsid w:val="0F7751E2"/>
    <w:rsid w:val="0F9418B4"/>
    <w:rsid w:val="0F9813AA"/>
    <w:rsid w:val="0F9D36C7"/>
    <w:rsid w:val="0FA37023"/>
    <w:rsid w:val="0FA959DF"/>
    <w:rsid w:val="0FB95619"/>
    <w:rsid w:val="0FBA7580"/>
    <w:rsid w:val="0FC14C79"/>
    <w:rsid w:val="0FCE4134"/>
    <w:rsid w:val="0FD5013A"/>
    <w:rsid w:val="0FD64164"/>
    <w:rsid w:val="0FDF2309"/>
    <w:rsid w:val="0FDF5349"/>
    <w:rsid w:val="0FDF58CF"/>
    <w:rsid w:val="0FE36FF3"/>
    <w:rsid w:val="0FE61258"/>
    <w:rsid w:val="0FE74D0D"/>
    <w:rsid w:val="0FE85CE9"/>
    <w:rsid w:val="0FF53537"/>
    <w:rsid w:val="0FFC3FCC"/>
    <w:rsid w:val="10022F25"/>
    <w:rsid w:val="10164083"/>
    <w:rsid w:val="10266346"/>
    <w:rsid w:val="103225AB"/>
    <w:rsid w:val="1035070E"/>
    <w:rsid w:val="10371186"/>
    <w:rsid w:val="103B0B7C"/>
    <w:rsid w:val="104340F6"/>
    <w:rsid w:val="10472CF6"/>
    <w:rsid w:val="105C6239"/>
    <w:rsid w:val="105D513D"/>
    <w:rsid w:val="10687F2A"/>
    <w:rsid w:val="10A123D8"/>
    <w:rsid w:val="10A35F79"/>
    <w:rsid w:val="10AD2FF2"/>
    <w:rsid w:val="10AF34C1"/>
    <w:rsid w:val="10B229DB"/>
    <w:rsid w:val="10B559C1"/>
    <w:rsid w:val="10B936DB"/>
    <w:rsid w:val="10C37489"/>
    <w:rsid w:val="10D17A94"/>
    <w:rsid w:val="10E44AB4"/>
    <w:rsid w:val="10E51460"/>
    <w:rsid w:val="10E54536"/>
    <w:rsid w:val="10FC702C"/>
    <w:rsid w:val="110F64A9"/>
    <w:rsid w:val="11263183"/>
    <w:rsid w:val="11482A47"/>
    <w:rsid w:val="115E5239"/>
    <w:rsid w:val="11665390"/>
    <w:rsid w:val="11A44917"/>
    <w:rsid w:val="11AA081A"/>
    <w:rsid w:val="11AD45EE"/>
    <w:rsid w:val="11AD7755"/>
    <w:rsid w:val="11B369BB"/>
    <w:rsid w:val="11FF522B"/>
    <w:rsid w:val="12117116"/>
    <w:rsid w:val="121465B4"/>
    <w:rsid w:val="1224068D"/>
    <w:rsid w:val="12275027"/>
    <w:rsid w:val="122E0697"/>
    <w:rsid w:val="123C738C"/>
    <w:rsid w:val="123F688D"/>
    <w:rsid w:val="12564F58"/>
    <w:rsid w:val="12626135"/>
    <w:rsid w:val="12681661"/>
    <w:rsid w:val="126A325F"/>
    <w:rsid w:val="126D1B3A"/>
    <w:rsid w:val="126F7CD6"/>
    <w:rsid w:val="127F0F89"/>
    <w:rsid w:val="128B56D9"/>
    <w:rsid w:val="12992030"/>
    <w:rsid w:val="129C41B7"/>
    <w:rsid w:val="12A20B85"/>
    <w:rsid w:val="12A26D1D"/>
    <w:rsid w:val="12B67274"/>
    <w:rsid w:val="12B70694"/>
    <w:rsid w:val="12E22484"/>
    <w:rsid w:val="12EB2DCC"/>
    <w:rsid w:val="12EC4BC4"/>
    <w:rsid w:val="12F963BD"/>
    <w:rsid w:val="13013172"/>
    <w:rsid w:val="130B7362"/>
    <w:rsid w:val="130D5627"/>
    <w:rsid w:val="13101506"/>
    <w:rsid w:val="131F7CDF"/>
    <w:rsid w:val="13222034"/>
    <w:rsid w:val="1324259A"/>
    <w:rsid w:val="132B43DB"/>
    <w:rsid w:val="132B5D8A"/>
    <w:rsid w:val="133B5405"/>
    <w:rsid w:val="133E46A5"/>
    <w:rsid w:val="134252F2"/>
    <w:rsid w:val="134D32D7"/>
    <w:rsid w:val="1353688E"/>
    <w:rsid w:val="135673E8"/>
    <w:rsid w:val="135A0F71"/>
    <w:rsid w:val="136E1C38"/>
    <w:rsid w:val="13833A8F"/>
    <w:rsid w:val="138378FB"/>
    <w:rsid w:val="13850DB1"/>
    <w:rsid w:val="139471B8"/>
    <w:rsid w:val="13A4712A"/>
    <w:rsid w:val="13B05407"/>
    <w:rsid w:val="13B23751"/>
    <w:rsid w:val="141D1F8B"/>
    <w:rsid w:val="141D3198"/>
    <w:rsid w:val="14213032"/>
    <w:rsid w:val="142B3C92"/>
    <w:rsid w:val="14314166"/>
    <w:rsid w:val="1439404D"/>
    <w:rsid w:val="1443733A"/>
    <w:rsid w:val="144D1281"/>
    <w:rsid w:val="14614438"/>
    <w:rsid w:val="146D2450"/>
    <w:rsid w:val="147C2A50"/>
    <w:rsid w:val="14981201"/>
    <w:rsid w:val="14982DED"/>
    <w:rsid w:val="149B5E96"/>
    <w:rsid w:val="14AB7AE1"/>
    <w:rsid w:val="14B36AAE"/>
    <w:rsid w:val="14B51383"/>
    <w:rsid w:val="14BD2F73"/>
    <w:rsid w:val="14CF153A"/>
    <w:rsid w:val="14D87089"/>
    <w:rsid w:val="14EB6681"/>
    <w:rsid w:val="14EC7862"/>
    <w:rsid w:val="14F47B43"/>
    <w:rsid w:val="14F52607"/>
    <w:rsid w:val="14FF616A"/>
    <w:rsid w:val="150917CB"/>
    <w:rsid w:val="150E6200"/>
    <w:rsid w:val="152002B6"/>
    <w:rsid w:val="152B3A44"/>
    <w:rsid w:val="15363E9A"/>
    <w:rsid w:val="15600750"/>
    <w:rsid w:val="157B6B67"/>
    <w:rsid w:val="158F1BE6"/>
    <w:rsid w:val="159232C9"/>
    <w:rsid w:val="15BC0EE9"/>
    <w:rsid w:val="15C20DEE"/>
    <w:rsid w:val="15CB045E"/>
    <w:rsid w:val="15D24905"/>
    <w:rsid w:val="15E628BA"/>
    <w:rsid w:val="15E6451B"/>
    <w:rsid w:val="15F61DFD"/>
    <w:rsid w:val="16005E23"/>
    <w:rsid w:val="16056FAA"/>
    <w:rsid w:val="16285EDC"/>
    <w:rsid w:val="16311CEF"/>
    <w:rsid w:val="16346EEF"/>
    <w:rsid w:val="165662B8"/>
    <w:rsid w:val="165F5674"/>
    <w:rsid w:val="16752279"/>
    <w:rsid w:val="16856CAA"/>
    <w:rsid w:val="168D67D5"/>
    <w:rsid w:val="16923DD0"/>
    <w:rsid w:val="16981357"/>
    <w:rsid w:val="16B00549"/>
    <w:rsid w:val="16BB108E"/>
    <w:rsid w:val="16CB32FE"/>
    <w:rsid w:val="16CD59B4"/>
    <w:rsid w:val="16D06E02"/>
    <w:rsid w:val="16D500B2"/>
    <w:rsid w:val="16F23421"/>
    <w:rsid w:val="170F0B68"/>
    <w:rsid w:val="1715668B"/>
    <w:rsid w:val="171E3F01"/>
    <w:rsid w:val="172214B5"/>
    <w:rsid w:val="17283CD7"/>
    <w:rsid w:val="174010C5"/>
    <w:rsid w:val="174A3185"/>
    <w:rsid w:val="17567C76"/>
    <w:rsid w:val="17601292"/>
    <w:rsid w:val="177260D5"/>
    <w:rsid w:val="17752FDD"/>
    <w:rsid w:val="17753D86"/>
    <w:rsid w:val="178E33FA"/>
    <w:rsid w:val="1794757F"/>
    <w:rsid w:val="17AA5CE5"/>
    <w:rsid w:val="17AF588F"/>
    <w:rsid w:val="17B02D97"/>
    <w:rsid w:val="17B17414"/>
    <w:rsid w:val="17B7094C"/>
    <w:rsid w:val="17B72399"/>
    <w:rsid w:val="17C0687B"/>
    <w:rsid w:val="17C81BE6"/>
    <w:rsid w:val="17D1697E"/>
    <w:rsid w:val="17DA60B4"/>
    <w:rsid w:val="17E11382"/>
    <w:rsid w:val="180A723D"/>
    <w:rsid w:val="182119EF"/>
    <w:rsid w:val="18225AC6"/>
    <w:rsid w:val="182C7AFB"/>
    <w:rsid w:val="18304B55"/>
    <w:rsid w:val="183F10ED"/>
    <w:rsid w:val="1851703F"/>
    <w:rsid w:val="187659C6"/>
    <w:rsid w:val="187E3151"/>
    <w:rsid w:val="1887158C"/>
    <w:rsid w:val="18914317"/>
    <w:rsid w:val="189A2FA5"/>
    <w:rsid w:val="18A56937"/>
    <w:rsid w:val="18AD35A8"/>
    <w:rsid w:val="18BA238A"/>
    <w:rsid w:val="18CF404E"/>
    <w:rsid w:val="18E67E1E"/>
    <w:rsid w:val="18EB3417"/>
    <w:rsid w:val="18F855E1"/>
    <w:rsid w:val="19077DA8"/>
    <w:rsid w:val="191C0922"/>
    <w:rsid w:val="191C4993"/>
    <w:rsid w:val="192916C1"/>
    <w:rsid w:val="1932202C"/>
    <w:rsid w:val="193613D8"/>
    <w:rsid w:val="19364820"/>
    <w:rsid w:val="1938500E"/>
    <w:rsid w:val="193A5631"/>
    <w:rsid w:val="19465BF5"/>
    <w:rsid w:val="19594B1C"/>
    <w:rsid w:val="197A7E6E"/>
    <w:rsid w:val="1985572D"/>
    <w:rsid w:val="19871FA6"/>
    <w:rsid w:val="19882B8F"/>
    <w:rsid w:val="19AC33F2"/>
    <w:rsid w:val="19AF0ECB"/>
    <w:rsid w:val="19C2064A"/>
    <w:rsid w:val="19CC529C"/>
    <w:rsid w:val="19CC5C38"/>
    <w:rsid w:val="19CF15DF"/>
    <w:rsid w:val="19D73B23"/>
    <w:rsid w:val="19E70A60"/>
    <w:rsid w:val="19F31739"/>
    <w:rsid w:val="19F77B16"/>
    <w:rsid w:val="19FC7CE4"/>
    <w:rsid w:val="1A0F684F"/>
    <w:rsid w:val="1A154A4D"/>
    <w:rsid w:val="1A2242DD"/>
    <w:rsid w:val="1A230029"/>
    <w:rsid w:val="1A2C49BC"/>
    <w:rsid w:val="1A4C4AB2"/>
    <w:rsid w:val="1A5245DF"/>
    <w:rsid w:val="1A685714"/>
    <w:rsid w:val="1A786C91"/>
    <w:rsid w:val="1A892BD2"/>
    <w:rsid w:val="1A914D7D"/>
    <w:rsid w:val="1AA02F74"/>
    <w:rsid w:val="1AA77240"/>
    <w:rsid w:val="1AC61596"/>
    <w:rsid w:val="1AC94D40"/>
    <w:rsid w:val="1AF32237"/>
    <w:rsid w:val="1AFB4AC1"/>
    <w:rsid w:val="1B02145F"/>
    <w:rsid w:val="1B04212F"/>
    <w:rsid w:val="1B134906"/>
    <w:rsid w:val="1B270737"/>
    <w:rsid w:val="1B2D1F9F"/>
    <w:rsid w:val="1B357046"/>
    <w:rsid w:val="1B3B70DD"/>
    <w:rsid w:val="1B5C1C64"/>
    <w:rsid w:val="1B661D65"/>
    <w:rsid w:val="1B827B60"/>
    <w:rsid w:val="1B9A38D5"/>
    <w:rsid w:val="1B9F4BB7"/>
    <w:rsid w:val="1BB51AAE"/>
    <w:rsid w:val="1BB80F20"/>
    <w:rsid w:val="1BCF26B9"/>
    <w:rsid w:val="1BD31DFA"/>
    <w:rsid w:val="1BD470A5"/>
    <w:rsid w:val="1BE124BC"/>
    <w:rsid w:val="1BE648D0"/>
    <w:rsid w:val="1C084369"/>
    <w:rsid w:val="1C0C01B9"/>
    <w:rsid w:val="1C14556B"/>
    <w:rsid w:val="1C147A10"/>
    <w:rsid w:val="1C24353C"/>
    <w:rsid w:val="1C2C1052"/>
    <w:rsid w:val="1C2C7CA2"/>
    <w:rsid w:val="1C407F5A"/>
    <w:rsid w:val="1C4E6803"/>
    <w:rsid w:val="1C5956FF"/>
    <w:rsid w:val="1C5B0FCD"/>
    <w:rsid w:val="1C681396"/>
    <w:rsid w:val="1C710B4C"/>
    <w:rsid w:val="1C765838"/>
    <w:rsid w:val="1C7D3C62"/>
    <w:rsid w:val="1C932BD8"/>
    <w:rsid w:val="1C940662"/>
    <w:rsid w:val="1C946F1C"/>
    <w:rsid w:val="1CA62F29"/>
    <w:rsid w:val="1CA75A8F"/>
    <w:rsid w:val="1CAF4F8B"/>
    <w:rsid w:val="1CB27ED9"/>
    <w:rsid w:val="1CBB0157"/>
    <w:rsid w:val="1CBB2A01"/>
    <w:rsid w:val="1CEE4358"/>
    <w:rsid w:val="1CF75614"/>
    <w:rsid w:val="1CF85C20"/>
    <w:rsid w:val="1D006502"/>
    <w:rsid w:val="1D0126E5"/>
    <w:rsid w:val="1D122523"/>
    <w:rsid w:val="1D2022F1"/>
    <w:rsid w:val="1D2B4BC9"/>
    <w:rsid w:val="1D3C7B94"/>
    <w:rsid w:val="1D460BB4"/>
    <w:rsid w:val="1D496BF0"/>
    <w:rsid w:val="1D5E1930"/>
    <w:rsid w:val="1D615194"/>
    <w:rsid w:val="1D735185"/>
    <w:rsid w:val="1D790B52"/>
    <w:rsid w:val="1D80152B"/>
    <w:rsid w:val="1D830650"/>
    <w:rsid w:val="1D9807A7"/>
    <w:rsid w:val="1D9B78B7"/>
    <w:rsid w:val="1DA312CB"/>
    <w:rsid w:val="1DA43E8A"/>
    <w:rsid w:val="1DB07578"/>
    <w:rsid w:val="1DB70826"/>
    <w:rsid w:val="1DC636C5"/>
    <w:rsid w:val="1DCB686B"/>
    <w:rsid w:val="1DCE59F9"/>
    <w:rsid w:val="1DD010A7"/>
    <w:rsid w:val="1DDD1742"/>
    <w:rsid w:val="1DE62B9E"/>
    <w:rsid w:val="1DED67B9"/>
    <w:rsid w:val="1DF832D5"/>
    <w:rsid w:val="1DF92A2E"/>
    <w:rsid w:val="1E0A71FE"/>
    <w:rsid w:val="1E0B2BCF"/>
    <w:rsid w:val="1E1B7741"/>
    <w:rsid w:val="1E252521"/>
    <w:rsid w:val="1E330EDF"/>
    <w:rsid w:val="1E3C1E0C"/>
    <w:rsid w:val="1E3C2900"/>
    <w:rsid w:val="1E4E0C3B"/>
    <w:rsid w:val="1E5F40B2"/>
    <w:rsid w:val="1E703C92"/>
    <w:rsid w:val="1EB03BA0"/>
    <w:rsid w:val="1EBB4CA5"/>
    <w:rsid w:val="1EC84449"/>
    <w:rsid w:val="1ED819D0"/>
    <w:rsid w:val="1EDB5713"/>
    <w:rsid w:val="1EDE3818"/>
    <w:rsid w:val="1EED1E53"/>
    <w:rsid w:val="1EF40DB9"/>
    <w:rsid w:val="1EFE4B0C"/>
    <w:rsid w:val="1F0675A3"/>
    <w:rsid w:val="1F105379"/>
    <w:rsid w:val="1F17524F"/>
    <w:rsid w:val="1F191186"/>
    <w:rsid w:val="1F192EAF"/>
    <w:rsid w:val="1F272FBB"/>
    <w:rsid w:val="1F383BDB"/>
    <w:rsid w:val="1F3C17CD"/>
    <w:rsid w:val="1F46128F"/>
    <w:rsid w:val="1F5756AE"/>
    <w:rsid w:val="1F5E0FFD"/>
    <w:rsid w:val="1F693F9F"/>
    <w:rsid w:val="1F6953B4"/>
    <w:rsid w:val="1F75312A"/>
    <w:rsid w:val="1F8C53FE"/>
    <w:rsid w:val="1F8E4624"/>
    <w:rsid w:val="1F995E8E"/>
    <w:rsid w:val="1FDD5353"/>
    <w:rsid w:val="1FDE6E58"/>
    <w:rsid w:val="1FDE70B6"/>
    <w:rsid w:val="1FE821BB"/>
    <w:rsid w:val="20043CC8"/>
    <w:rsid w:val="200F40CA"/>
    <w:rsid w:val="201E68AC"/>
    <w:rsid w:val="202137E5"/>
    <w:rsid w:val="20266E6E"/>
    <w:rsid w:val="202F0CD7"/>
    <w:rsid w:val="203B6C9A"/>
    <w:rsid w:val="203F5C42"/>
    <w:rsid w:val="204B77D7"/>
    <w:rsid w:val="204C3C3F"/>
    <w:rsid w:val="2052313F"/>
    <w:rsid w:val="20542B49"/>
    <w:rsid w:val="205B26E5"/>
    <w:rsid w:val="20717C5E"/>
    <w:rsid w:val="20741A3D"/>
    <w:rsid w:val="20777FBD"/>
    <w:rsid w:val="20854330"/>
    <w:rsid w:val="208667F4"/>
    <w:rsid w:val="20903747"/>
    <w:rsid w:val="20914631"/>
    <w:rsid w:val="209463BD"/>
    <w:rsid w:val="209C512D"/>
    <w:rsid w:val="20B074C9"/>
    <w:rsid w:val="20B1530F"/>
    <w:rsid w:val="20C12918"/>
    <w:rsid w:val="20E143B7"/>
    <w:rsid w:val="20E70A19"/>
    <w:rsid w:val="20E7598A"/>
    <w:rsid w:val="20EB797A"/>
    <w:rsid w:val="20EC4C22"/>
    <w:rsid w:val="20F57F8B"/>
    <w:rsid w:val="20FF068E"/>
    <w:rsid w:val="2106332B"/>
    <w:rsid w:val="21111B35"/>
    <w:rsid w:val="21370D42"/>
    <w:rsid w:val="2149624E"/>
    <w:rsid w:val="21636756"/>
    <w:rsid w:val="21695994"/>
    <w:rsid w:val="2171674A"/>
    <w:rsid w:val="217C2E22"/>
    <w:rsid w:val="2180778C"/>
    <w:rsid w:val="219508BF"/>
    <w:rsid w:val="2195646F"/>
    <w:rsid w:val="219A6704"/>
    <w:rsid w:val="21A671E9"/>
    <w:rsid w:val="21A851FF"/>
    <w:rsid w:val="21A86DBF"/>
    <w:rsid w:val="21AA27C8"/>
    <w:rsid w:val="21B976F5"/>
    <w:rsid w:val="21D42576"/>
    <w:rsid w:val="21D825E7"/>
    <w:rsid w:val="21F24AFF"/>
    <w:rsid w:val="21FA582C"/>
    <w:rsid w:val="220211C8"/>
    <w:rsid w:val="221200AF"/>
    <w:rsid w:val="222D2D72"/>
    <w:rsid w:val="223D77DE"/>
    <w:rsid w:val="2249544F"/>
    <w:rsid w:val="22505B29"/>
    <w:rsid w:val="22562006"/>
    <w:rsid w:val="225832A7"/>
    <w:rsid w:val="225B0358"/>
    <w:rsid w:val="226A2BAF"/>
    <w:rsid w:val="2283435E"/>
    <w:rsid w:val="2291757C"/>
    <w:rsid w:val="229F025F"/>
    <w:rsid w:val="229F6268"/>
    <w:rsid w:val="22A73024"/>
    <w:rsid w:val="22B418B4"/>
    <w:rsid w:val="22F12AFA"/>
    <w:rsid w:val="22FA39E5"/>
    <w:rsid w:val="22FD1FE7"/>
    <w:rsid w:val="22FE3065"/>
    <w:rsid w:val="23161EF4"/>
    <w:rsid w:val="231A426A"/>
    <w:rsid w:val="231D2406"/>
    <w:rsid w:val="23263FAF"/>
    <w:rsid w:val="23270341"/>
    <w:rsid w:val="23322646"/>
    <w:rsid w:val="23473A01"/>
    <w:rsid w:val="234F2E7B"/>
    <w:rsid w:val="23564626"/>
    <w:rsid w:val="23585908"/>
    <w:rsid w:val="23716A7E"/>
    <w:rsid w:val="2378485C"/>
    <w:rsid w:val="238641D8"/>
    <w:rsid w:val="238D03FB"/>
    <w:rsid w:val="23B16E09"/>
    <w:rsid w:val="23C7090F"/>
    <w:rsid w:val="23D3269F"/>
    <w:rsid w:val="23D920A3"/>
    <w:rsid w:val="23F063EA"/>
    <w:rsid w:val="23FD2980"/>
    <w:rsid w:val="241E75FC"/>
    <w:rsid w:val="242467E8"/>
    <w:rsid w:val="24363F84"/>
    <w:rsid w:val="2444266E"/>
    <w:rsid w:val="247474EF"/>
    <w:rsid w:val="24754142"/>
    <w:rsid w:val="247B1CB1"/>
    <w:rsid w:val="248E71EB"/>
    <w:rsid w:val="2491756A"/>
    <w:rsid w:val="24944599"/>
    <w:rsid w:val="24AA1DA9"/>
    <w:rsid w:val="24AC4BCE"/>
    <w:rsid w:val="24D07832"/>
    <w:rsid w:val="24F0504D"/>
    <w:rsid w:val="24F5362F"/>
    <w:rsid w:val="24F62E2B"/>
    <w:rsid w:val="25037389"/>
    <w:rsid w:val="250A534A"/>
    <w:rsid w:val="250E48F6"/>
    <w:rsid w:val="251B5967"/>
    <w:rsid w:val="25265765"/>
    <w:rsid w:val="252925FE"/>
    <w:rsid w:val="253244E3"/>
    <w:rsid w:val="25491BAE"/>
    <w:rsid w:val="256C57B0"/>
    <w:rsid w:val="25711917"/>
    <w:rsid w:val="25817AE5"/>
    <w:rsid w:val="259E102A"/>
    <w:rsid w:val="259E3969"/>
    <w:rsid w:val="25A54EB6"/>
    <w:rsid w:val="25A730B9"/>
    <w:rsid w:val="25AF3802"/>
    <w:rsid w:val="25B0289E"/>
    <w:rsid w:val="25BD1553"/>
    <w:rsid w:val="25CC7D5E"/>
    <w:rsid w:val="25DE338F"/>
    <w:rsid w:val="25DF7B3D"/>
    <w:rsid w:val="25F94B1F"/>
    <w:rsid w:val="2609145B"/>
    <w:rsid w:val="260A6278"/>
    <w:rsid w:val="260E6B7A"/>
    <w:rsid w:val="260F5383"/>
    <w:rsid w:val="264424BB"/>
    <w:rsid w:val="266A2DAE"/>
    <w:rsid w:val="267335B5"/>
    <w:rsid w:val="26A30037"/>
    <w:rsid w:val="26A57342"/>
    <w:rsid w:val="26AB597F"/>
    <w:rsid w:val="26B168E2"/>
    <w:rsid w:val="26CE1616"/>
    <w:rsid w:val="26D31E79"/>
    <w:rsid w:val="26D67E5B"/>
    <w:rsid w:val="26DD55E5"/>
    <w:rsid w:val="26F352F5"/>
    <w:rsid w:val="2705114E"/>
    <w:rsid w:val="27084C93"/>
    <w:rsid w:val="270E4303"/>
    <w:rsid w:val="27232E34"/>
    <w:rsid w:val="272D5E27"/>
    <w:rsid w:val="273532AC"/>
    <w:rsid w:val="27363FE0"/>
    <w:rsid w:val="27436E81"/>
    <w:rsid w:val="27482A57"/>
    <w:rsid w:val="274C5D48"/>
    <w:rsid w:val="27510E92"/>
    <w:rsid w:val="27656096"/>
    <w:rsid w:val="27660538"/>
    <w:rsid w:val="276F640F"/>
    <w:rsid w:val="27780A78"/>
    <w:rsid w:val="27801BC3"/>
    <w:rsid w:val="27841474"/>
    <w:rsid w:val="27857EB6"/>
    <w:rsid w:val="278653E7"/>
    <w:rsid w:val="279B030F"/>
    <w:rsid w:val="279B2AAF"/>
    <w:rsid w:val="27AA034F"/>
    <w:rsid w:val="27BA0A64"/>
    <w:rsid w:val="27BB62A2"/>
    <w:rsid w:val="27C13A57"/>
    <w:rsid w:val="27D176E4"/>
    <w:rsid w:val="27D53C48"/>
    <w:rsid w:val="27DF7F93"/>
    <w:rsid w:val="27E41A17"/>
    <w:rsid w:val="2807646C"/>
    <w:rsid w:val="28095CD2"/>
    <w:rsid w:val="281006A9"/>
    <w:rsid w:val="281E1732"/>
    <w:rsid w:val="284324DE"/>
    <w:rsid w:val="284779CB"/>
    <w:rsid w:val="287025F1"/>
    <w:rsid w:val="2873497D"/>
    <w:rsid w:val="28754C30"/>
    <w:rsid w:val="28985AB1"/>
    <w:rsid w:val="28B605A6"/>
    <w:rsid w:val="28C12F43"/>
    <w:rsid w:val="28D830C2"/>
    <w:rsid w:val="28D9099D"/>
    <w:rsid w:val="28E25258"/>
    <w:rsid w:val="28E27BEC"/>
    <w:rsid w:val="28E516A3"/>
    <w:rsid w:val="28EF2BA6"/>
    <w:rsid w:val="28F80E3B"/>
    <w:rsid w:val="29076568"/>
    <w:rsid w:val="29413683"/>
    <w:rsid w:val="295B76D2"/>
    <w:rsid w:val="29673ABA"/>
    <w:rsid w:val="296C482D"/>
    <w:rsid w:val="297536A3"/>
    <w:rsid w:val="297A203D"/>
    <w:rsid w:val="297D7BB2"/>
    <w:rsid w:val="297F08BD"/>
    <w:rsid w:val="29824303"/>
    <w:rsid w:val="298B13C6"/>
    <w:rsid w:val="29964F71"/>
    <w:rsid w:val="29A254F6"/>
    <w:rsid w:val="29A54CC9"/>
    <w:rsid w:val="29AD7251"/>
    <w:rsid w:val="29AF1490"/>
    <w:rsid w:val="29AF3595"/>
    <w:rsid w:val="29AF50A0"/>
    <w:rsid w:val="29BA0492"/>
    <w:rsid w:val="29D232F4"/>
    <w:rsid w:val="29D70650"/>
    <w:rsid w:val="2A0C3394"/>
    <w:rsid w:val="2A1D6A47"/>
    <w:rsid w:val="2A1F2E82"/>
    <w:rsid w:val="2A2858A4"/>
    <w:rsid w:val="2A68669E"/>
    <w:rsid w:val="2A6B0371"/>
    <w:rsid w:val="2A8513CB"/>
    <w:rsid w:val="2A9B0CAE"/>
    <w:rsid w:val="2AAB273C"/>
    <w:rsid w:val="2ABC30D3"/>
    <w:rsid w:val="2ABF1B18"/>
    <w:rsid w:val="2AC60DD8"/>
    <w:rsid w:val="2ADD178F"/>
    <w:rsid w:val="2AE43489"/>
    <w:rsid w:val="2B084779"/>
    <w:rsid w:val="2B13052B"/>
    <w:rsid w:val="2B190888"/>
    <w:rsid w:val="2B29492D"/>
    <w:rsid w:val="2B2D3CCE"/>
    <w:rsid w:val="2B2E7DFC"/>
    <w:rsid w:val="2B2F0473"/>
    <w:rsid w:val="2B43460B"/>
    <w:rsid w:val="2B4548E6"/>
    <w:rsid w:val="2B4A3006"/>
    <w:rsid w:val="2B6B05E0"/>
    <w:rsid w:val="2B6E76AE"/>
    <w:rsid w:val="2B7076DD"/>
    <w:rsid w:val="2B8440E7"/>
    <w:rsid w:val="2B855F62"/>
    <w:rsid w:val="2B857617"/>
    <w:rsid w:val="2B917755"/>
    <w:rsid w:val="2BB6590B"/>
    <w:rsid w:val="2BBA5AE7"/>
    <w:rsid w:val="2BC159B4"/>
    <w:rsid w:val="2BC50F0F"/>
    <w:rsid w:val="2BCA6882"/>
    <w:rsid w:val="2BCD4EFD"/>
    <w:rsid w:val="2BF31328"/>
    <w:rsid w:val="2C0C54CE"/>
    <w:rsid w:val="2C1D2BD5"/>
    <w:rsid w:val="2C1F2EEF"/>
    <w:rsid w:val="2C2E4BB1"/>
    <w:rsid w:val="2C2F1FCA"/>
    <w:rsid w:val="2C371785"/>
    <w:rsid w:val="2C43264E"/>
    <w:rsid w:val="2C831068"/>
    <w:rsid w:val="2C8A4DCE"/>
    <w:rsid w:val="2C9027A4"/>
    <w:rsid w:val="2C942350"/>
    <w:rsid w:val="2C9B6853"/>
    <w:rsid w:val="2CA41716"/>
    <w:rsid w:val="2CCD60CF"/>
    <w:rsid w:val="2CD02BF1"/>
    <w:rsid w:val="2CDB45A4"/>
    <w:rsid w:val="2CE978F5"/>
    <w:rsid w:val="2CEC158F"/>
    <w:rsid w:val="2D1238F9"/>
    <w:rsid w:val="2D136BDB"/>
    <w:rsid w:val="2D2051D2"/>
    <w:rsid w:val="2D2078A1"/>
    <w:rsid w:val="2D212B9B"/>
    <w:rsid w:val="2D2475AA"/>
    <w:rsid w:val="2D250A1E"/>
    <w:rsid w:val="2D275A8A"/>
    <w:rsid w:val="2D2D61B6"/>
    <w:rsid w:val="2D2F2723"/>
    <w:rsid w:val="2D3A1446"/>
    <w:rsid w:val="2D3F43F1"/>
    <w:rsid w:val="2D5E4B9A"/>
    <w:rsid w:val="2D76548B"/>
    <w:rsid w:val="2D775BEC"/>
    <w:rsid w:val="2D965C34"/>
    <w:rsid w:val="2DA2331A"/>
    <w:rsid w:val="2DA61674"/>
    <w:rsid w:val="2DA963A4"/>
    <w:rsid w:val="2DBC230A"/>
    <w:rsid w:val="2DC53616"/>
    <w:rsid w:val="2DD71F73"/>
    <w:rsid w:val="2E027B5A"/>
    <w:rsid w:val="2E044457"/>
    <w:rsid w:val="2E0D2A53"/>
    <w:rsid w:val="2E193BEF"/>
    <w:rsid w:val="2E1A1DB3"/>
    <w:rsid w:val="2E1D14B5"/>
    <w:rsid w:val="2E4A5056"/>
    <w:rsid w:val="2E4D0AB2"/>
    <w:rsid w:val="2E5B466F"/>
    <w:rsid w:val="2E765670"/>
    <w:rsid w:val="2E78589C"/>
    <w:rsid w:val="2E886850"/>
    <w:rsid w:val="2E8A1D70"/>
    <w:rsid w:val="2E931ACD"/>
    <w:rsid w:val="2E9E4E7E"/>
    <w:rsid w:val="2EB94DE9"/>
    <w:rsid w:val="2EC83D0D"/>
    <w:rsid w:val="2EE42216"/>
    <w:rsid w:val="2EFB0FCA"/>
    <w:rsid w:val="2F004C22"/>
    <w:rsid w:val="2F035225"/>
    <w:rsid w:val="2F0E51B1"/>
    <w:rsid w:val="2F0F527B"/>
    <w:rsid w:val="2F115FA5"/>
    <w:rsid w:val="2F13628F"/>
    <w:rsid w:val="2F1778A4"/>
    <w:rsid w:val="2F180705"/>
    <w:rsid w:val="2F1E7A8C"/>
    <w:rsid w:val="2F270D9B"/>
    <w:rsid w:val="2F4B5488"/>
    <w:rsid w:val="2F63319F"/>
    <w:rsid w:val="2F6451C5"/>
    <w:rsid w:val="2F715008"/>
    <w:rsid w:val="2F7403BF"/>
    <w:rsid w:val="2F7E0BC6"/>
    <w:rsid w:val="2F7E377B"/>
    <w:rsid w:val="2F8513C4"/>
    <w:rsid w:val="2F950531"/>
    <w:rsid w:val="2FA02B26"/>
    <w:rsid w:val="2FB05BC1"/>
    <w:rsid w:val="2FBA750F"/>
    <w:rsid w:val="2FBC77E7"/>
    <w:rsid w:val="2FD12AFB"/>
    <w:rsid w:val="2FD1510B"/>
    <w:rsid w:val="2FE167DC"/>
    <w:rsid w:val="2FE50B4A"/>
    <w:rsid w:val="2FF631F8"/>
    <w:rsid w:val="30016FFE"/>
    <w:rsid w:val="30060939"/>
    <w:rsid w:val="3009447A"/>
    <w:rsid w:val="300D46D2"/>
    <w:rsid w:val="3016671A"/>
    <w:rsid w:val="301D34D2"/>
    <w:rsid w:val="302C2242"/>
    <w:rsid w:val="30352507"/>
    <w:rsid w:val="30495DDB"/>
    <w:rsid w:val="304F4125"/>
    <w:rsid w:val="305F5F4F"/>
    <w:rsid w:val="30652E54"/>
    <w:rsid w:val="30665E3B"/>
    <w:rsid w:val="30672F7F"/>
    <w:rsid w:val="30815454"/>
    <w:rsid w:val="30931AA4"/>
    <w:rsid w:val="309A44C5"/>
    <w:rsid w:val="30AE7D66"/>
    <w:rsid w:val="30B939A5"/>
    <w:rsid w:val="30C52B8C"/>
    <w:rsid w:val="30C70B6E"/>
    <w:rsid w:val="30CD0288"/>
    <w:rsid w:val="30CE181E"/>
    <w:rsid w:val="30CE6AB8"/>
    <w:rsid w:val="30DD6296"/>
    <w:rsid w:val="30DE5180"/>
    <w:rsid w:val="30E14B12"/>
    <w:rsid w:val="30E32F65"/>
    <w:rsid w:val="30E34E24"/>
    <w:rsid w:val="30F55682"/>
    <w:rsid w:val="30FE1CA8"/>
    <w:rsid w:val="310450FF"/>
    <w:rsid w:val="31045666"/>
    <w:rsid w:val="310522D6"/>
    <w:rsid w:val="310C38DD"/>
    <w:rsid w:val="311A4987"/>
    <w:rsid w:val="312660DB"/>
    <w:rsid w:val="31695275"/>
    <w:rsid w:val="31696120"/>
    <w:rsid w:val="316B4D50"/>
    <w:rsid w:val="317361C5"/>
    <w:rsid w:val="31763B8C"/>
    <w:rsid w:val="31810383"/>
    <w:rsid w:val="319277F6"/>
    <w:rsid w:val="3194331D"/>
    <w:rsid w:val="319A5932"/>
    <w:rsid w:val="319E313E"/>
    <w:rsid w:val="31A329BD"/>
    <w:rsid w:val="31A3416A"/>
    <w:rsid w:val="31AD742A"/>
    <w:rsid w:val="31CF5D22"/>
    <w:rsid w:val="31D73C97"/>
    <w:rsid w:val="31D93A7E"/>
    <w:rsid w:val="31DF49FC"/>
    <w:rsid w:val="31E31C8E"/>
    <w:rsid w:val="31E770C1"/>
    <w:rsid w:val="31EC17B8"/>
    <w:rsid w:val="32050F65"/>
    <w:rsid w:val="3228089D"/>
    <w:rsid w:val="32487AEA"/>
    <w:rsid w:val="32692163"/>
    <w:rsid w:val="32692F4F"/>
    <w:rsid w:val="328B3150"/>
    <w:rsid w:val="32A44B69"/>
    <w:rsid w:val="32A76BAB"/>
    <w:rsid w:val="32A860A2"/>
    <w:rsid w:val="32AD79AF"/>
    <w:rsid w:val="32B17AB6"/>
    <w:rsid w:val="32BB495D"/>
    <w:rsid w:val="32BF0082"/>
    <w:rsid w:val="32D12978"/>
    <w:rsid w:val="32D44099"/>
    <w:rsid w:val="32E1745D"/>
    <w:rsid w:val="32EE40E4"/>
    <w:rsid w:val="32FB3F2A"/>
    <w:rsid w:val="330C64C3"/>
    <w:rsid w:val="332A7F83"/>
    <w:rsid w:val="332F7EB2"/>
    <w:rsid w:val="33433C28"/>
    <w:rsid w:val="3344488D"/>
    <w:rsid w:val="334523B8"/>
    <w:rsid w:val="334C3607"/>
    <w:rsid w:val="334E532C"/>
    <w:rsid w:val="334F7709"/>
    <w:rsid w:val="336E3EEB"/>
    <w:rsid w:val="33710321"/>
    <w:rsid w:val="33773CB5"/>
    <w:rsid w:val="338056CF"/>
    <w:rsid w:val="33894489"/>
    <w:rsid w:val="338D75E7"/>
    <w:rsid w:val="33963BBD"/>
    <w:rsid w:val="33965533"/>
    <w:rsid w:val="33A5141B"/>
    <w:rsid w:val="33B76DC7"/>
    <w:rsid w:val="33B8613D"/>
    <w:rsid w:val="33BB0838"/>
    <w:rsid w:val="33C309AC"/>
    <w:rsid w:val="33D956E4"/>
    <w:rsid w:val="33DA3660"/>
    <w:rsid w:val="33EB0E9C"/>
    <w:rsid w:val="33F72688"/>
    <w:rsid w:val="34061478"/>
    <w:rsid w:val="340D0AEC"/>
    <w:rsid w:val="3415394C"/>
    <w:rsid w:val="34186207"/>
    <w:rsid w:val="34200086"/>
    <w:rsid w:val="34213331"/>
    <w:rsid w:val="342967E1"/>
    <w:rsid w:val="34457DE9"/>
    <w:rsid w:val="34477442"/>
    <w:rsid w:val="3459755F"/>
    <w:rsid w:val="34836296"/>
    <w:rsid w:val="349E5EF0"/>
    <w:rsid w:val="34A46830"/>
    <w:rsid w:val="34B44313"/>
    <w:rsid w:val="34BB200B"/>
    <w:rsid w:val="34C714FF"/>
    <w:rsid w:val="34E33515"/>
    <w:rsid w:val="34FD2BD7"/>
    <w:rsid w:val="3501327B"/>
    <w:rsid w:val="35263132"/>
    <w:rsid w:val="35290213"/>
    <w:rsid w:val="3534772F"/>
    <w:rsid w:val="355537C8"/>
    <w:rsid w:val="35741AB4"/>
    <w:rsid w:val="35770329"/>
    <w:rsid w:val="35A028EC"/>
    <w:rsid w:val="35AB4872"/>
    <w:rsid w:val="35BE7429"/>
    <w:rsid w:val="35BF0D2F"/>
    <w:rsid w:val="35BF1D8F"/>
    <w:rsid w:val="35C53C2D"/>
    <w:rsid w:val="35CD0091"/>
    <w:rsid w:val="35CE71E8"/>
    <w:rsid w:val="35D03A9A"/>
    <w:rsid w:val="35E6221F"/>
    <w:rsid w:val="35E876BC"/>
    <w:rsid w:val="36010CC7"/>
    <w:rsid w:val="3609291E"/>
    <w:rsid w:val="36107607"/>
    <w:rsid w:val="3620108C"/>
    <w:rsid w:val="36243FED"/>
    <w:rsid w:val="362E1E71"/>
    <w:rsid w:val="363860BF"/>
    <w:rsid w:val="364A32EE"/>
    <w:rsid w:val="365D6155"/>
    <w:rsid w:val="3666248C"/>
    <w:rsid w:val="366B67E2"/>
    <w:rsid w:val="36754987"/>
    <w:rsid w:val="368C2B06"/>
    <w:rsid w:val="369522E2"/>
    <w:rsid w:val="36B12096"/>
    <w:rsid w:val="36B83C7E"/>
    <w:rsid w:val="36D1239C"/>
    <w:rsid w:val="36D21062"/>
    <w:rsid w:val="36D44385"/>
    <w:rsid w:val="36D804D7"/>
    <w:rsid w:val="36DB044D"/>
    <w:rsid w:val="36EF7773"/>
    <w:rsid w:val="36FA71A9"/>
    <w:rsid w:val="37082B9B"/>
    <w:rsid w:val="370A733E"/>
    <w:rsid w:val="370F6D0E"/>
    <w:rsid w:val="37102CED"/>
    <w:rsid w:val="37212DE9"/>
    <w:rsid w:val="372B3B6C"/>
    <w:rsid w:val="373062C9"/>
    <w:rsid w:val="373662CC"/>
    <w:rsid w:val="374231FE"/>
    <w:rsid w:val="37427C3D"/>
    <w:rsid w:val="37434E6B"/>
    <w:rsid w:val="375B5288"/>
    <w:rsid w:val="3763491A"/>
    <w:rsid w:val="378270E9"/>
    <w:rsid w:val="37973C26"/>
    <w:rsid w:val="379A35A9"/>
    <w:rsid w:val="379B597E"/>
    <w:rsid w:val="37BC12E6"/>
    <w:rsid w:val="37BD66C4"/>
    <w:rsid w:val="37BE1AA4"/>
    <w:rsid w:val="37C6527F"/>
    <w:rsid w:val="37D21106"/>
    <w:rsid w:val="37EA6D8C"/>
    <w:rsid w:val="37EB3F09"/>
    <w:rsid w:val="37ED4E1F"/>
    <w:rsid w:val="37F66CFB"/>
    <w:rsid w:val="37FD14EF"/>
    <w:rsid w:val="380B330B"/>
    <w:rsid w:val="38163548"/>
    <w:rsid w:val="381D3860"/>
    <w:rsid w:val="38211F1D"/>
    <w:rsid w:val="384811D8"/>
    <w:rsid w:val="384C687C"/>
    <w:rsid w:val="385226B7"/>
    <w:rsid w:val="38545D43"/>
    <w:rsid w:val="38571FE8"/>
    <w:rsid w:val="385E67C1"/>
    <w:rsid w:val="386C1A60"/>
    <w:rsid w:val="38817869"/>
    <w:rsid w:val="38995C2A"/>
    <w:rsid w:val="38AE417B"/>
    <w:rsid w:val="38AF74DF"/>
    <w:rsid w:val="38B14C10"/>
    <w:rsid w:val="38C415FA"/>
    <w:rsid w:val="38D81E6E"/>
    <w:rsid w:val="38DB6240"/>
    <w:rsid w:val="38F13BB8"/>
    <w:rsid w:val="38F33502"/>
    <w:rsid w:val="38FE756E"/>
    <w:rsid w:val="390059F7"/>
    <w:rsid w:val="39062BDE"/>
    <w:rsid w:val="390F2CF2"/>
    <w:rsid w:val="3930504B"/>
    <w:rsid w:val="39462797"/>
    <w:rsid w:val="394B79DE"/>
    <w:rsid w:val="39573275"/>
    <w:rsid w:val="395B1B5F"/>
    <w:rsid w:val="396A2644"/>
    <w:rsid w:val="39710B74"/>
    <w:rsid w:val="39734FC9"/>
    <w:rsid w:val="39996FC5"/>
    <w:rsid w:val="399B49B7"/>
    <w:rsid w:val="39B35DCE"/>
    <w:rsid w:val="39C10352"/>
    <w:rsid w:val="39CE27F8"/>
    <w:rsid w:val="39D22E0B"/>
    <w:rsid w:val="39D32641"/>
    <w:rsid w:val="39D73176"/>
    <w:rsid w:val="39E83D64"/>
    <w:rsid w:val="39F95F80"/>
    <w:rsid w:val="39FE7B03"/>
    <w:rsid w:val="3A011B5F"/>
    <w:rsid w:val="3A073E30"/>
    <w:rsid w:val="3A146CF9"/>
    <w:rsid w:val="3A39794D"/>
    <w:rsid w:val="3A3F72E6"/>
    <w:rsid w:val="3A480354"/>
    <w:rsid w:val="3A615291"/>
    <w:rsid w:val="3A67784A"/>
    <w:rsid w:val="3A6B3C92"/>
    <w:rsid w:val="3A6C2EDF"/>
    <w:rsid w:val="3A856BAF"/>
    <w:rsid w:val="3A874BD2"/>
    <w:rsid w:val="3AA95B19"/>
    <w:rsid w:val="3AB03CAB"/>
    <w:rsid w:val="3AB91767"/>
    <w:rsid w:val="3ABD7250"/>
    <w:rsid w:val="3ACD43DF"/>
    <w:rsid w:val="3AD33201"/>
    <w:rsid w:val="3AE25665"/>
    <w:rsid w:val="3AF35C51"/>
    <w:rsid w:val="3B012379"/>
    <w:rsid w:val="3B0148CE"/>
    <w:rsid w:val="3B0968AE"/>
    <w:rsid w:val="3B0D718B"/>
    <w:rsid w:val="3B0F6A88"/>
    <w:rsid w:val="3B151E6F"/>
    <w:rsid w:val="3B585BB2"/>
    <w:rsid w:val="3B623CA9"/>
    <w:rsid w:val="3B672495"/>
    <w:rsid w:val="3B6E24CE"/>
    <w:rsid w:val="3B744F68"/>
    <w:rsid w:val="3B7B444F"/>
    <w:rsid w:val="3B8567FA"/>
    <w:rsid w:val="3B8A57C7"/>
    <w:rsid w:val="3B910945"/>
    <w:rsid w:val="3B9D502A"/>
    <w:rsid w:val="3BA2305A"/>
    <w:rsid w:val="3BC6734C"/>
    <w:rsid w:val="3BDC0F73"/>
    <w:rsid w:val="3C082FCD"/>
    <w:rsid w:val="3C2C4CDF"/>
    <w:rsid w:val="3C305E55"/>
    <w:rsid w:val="3C463033"/>
    <w:rsid w:val="3C5F5136"/>
    <w:rsid w:val="3C804048"/>
    <w:rsid w:val="3CAE5A75"/>
    <w:rsid w:val="3CB31105"/>
    <w:rsid w:val="3CB446FB"/>
    <w:rsid w:val="3CBA7B35"/>
    <w:rsid w:val="3CCA7BB7"/>
    <w:rsid w:val="3CD45A7A"/>
    <w:rsid w:val="3CD56C7A"/>
    <w:rsid w:val="3CE20584"/>
    <w:rsid w:val="3CF808E3"/>
    <w:rsid w:val="3D046E17"/>
    <w:rsid w:val="3D174997"/>
    <w:rsid w:val="3D1931B8"/>
    <w:rsid w:val="3D311FFA"/>
    <w:rsid w:val="3D3F2648"/>
    <w:rsid w:val="3D4C135D"/>
    <w:rsid w:val="3D4E40D2"/>
    <w:rsid w:val="3D5112F4"/>
    <w:rsid w:val="3D544544"/>
    <w:rsid w:val="3D583968"/>
    <w:rsid w:val="3D610650"/>
    <w:rsid w:val="3D6A102B"/>
    <w:rsid w:val="3D6B7A65"/>
    <w:rsid w:val="3D7043A3"/>
    <w:rsid w:val="3D787BB1"/>
    <w:rsid w:val="3D89682D"/>
    <w:rsid w:val="3D99167F"/>
    <w:rsid w:val="3D9D1F62"/>
    <w:rsid w:val="3DA12F2B"/>
    <w:rsid w:val="3DA56648"/>
    <w:rsid w:val="3DB42C92"/>
    <w:rsid w:val="3DBC78E2"/>
    <w:rsid w:val="3DC07258"/>
    <w:rsid w:val="3DDE00B5"/>
    <w:rsid w:val="3DE4564E"/>
    <w:rsid w:val="3DE7573B"/>
    <w:rsid w:val="3DEC23D2"/>
    <w:rsid w:val="3DF02AAE"/>
    <w:rsid w:val="3DF643A9"/>
    <w:rsid w:val="3DFF443B"/>
    <w:rsid w:val="3E0325E1"/>
    <w:rsid w:val="3E191BFC"/>
    <w:rsid w:val="3E1F1A3C"/>
    <w:rsid w:val="3E2925AE"/>
    <w:rsid w:val="3E2C419A"/>
    <w:rsid w:val="3E2C746D"/>
    <w:rsid w:val="3E347620"/>
    <w:rsid w:val="3E410CD2"/>
    <w:rsid w:val="3E4A34F2"/>
    <w:rsid w:val="3E4A6732"/>
    <w:rsid w:val="3E5057F6"/>
    <w:rsid w:val="3E546365"/>
    <w:rsid w:val="3E553F20"/>
    <w:rsid w:val="3E6B3DE4"/>
    <w:rsid w:val="3E7D3D15"/>
    <w:rsid w:val="3E7F11A8"/>
    <w:rsid w:val="3E8074D8"/>
    <w:rsid w:val="3E827252"/>
    <w:rsid w:val="3EAF329C"/>
    <w:rsid w:val="3ED256EA"/>
    <w:rsid w:val="3ED36DF8"/>
    <w:rsid w:val="3EDA19A1"/>
    <w:rsid w:val="3EF66B8E"/>
    <w:rsid w:val="3F1D4BC4"/>
    <w:rsid w:val="3F2F374C"/>
    <w:rsid w:val="3F304599"/>
    <w:rsid w:val="3F370F7B"/>
    <w:rsid w:val="3F392EC2"/>
    <w:rsid w:val="3F4716E1"/>
    <w:rsid w:val="3F491FE7"/>
    <w:rsid w:val="3F582B00"/>
    <w:rsid w:val="3F7E5951"/>
    <w:rsid w:val="3F88158C"/>
    <w:rsid w:val="3F8A7991"/>
    <w:rsid w:val="3F9833D3"/>
    <w:rsid w:val="3F985EC0"/>
    <w:rsid w:val="3F9A3D1F"/>
    <w:rsid w:val="3FAD1561"/>
    <w:rsid w:val="3FB1615E"/>
    <w:rsid w:val="3FB508D8"/>
    <w:rsid w:val="3FB60409"/>
    <w:rsid w:val="3FBA14B8"/>
    <w:rsid w:val="3FBA6FFE"/>
    <w:rsid w:val="3FC72567"/>
    <w:rsid w:val="3FEA2FC8"/>
    <w:rsid w:val="3FFC4487"/>
    <w:rsid w:val="40154BD1"/>
    <w:rsid w:val="401D4841"/>
    <w:rsid w:val="402318ED"/>
    <w:rsid w:val="40280874"/>
    <w:rsid w:val="403F0326"/>
    <w:rsid w:val="403F652A"/>
    <w:rsid w:val="40693F10"/>
    <w:rsid w:val="40880DBF"/>
    <w:rsid w:val="40A356C1"/>
    <w:rsid w:val="40A846B4"/>
    <w:rsid w:val="40B574CD"/>
    <w:rsid w:val="40BA2700"/>
    <w:rsid w:val="40C52DD3"/>
    <w:rsid w:val="40C65BCF"/>
    <w:rsid w:val="40C81549"/>
    <w:rsid w:val="40D450D2"/>
    <w:rsid w:val="40F261AF"/>
    <w:rsid w:val="40F56AB3"/>
    <w:rsid w:val="40FE22C8"/>
    <w:rsid w:val="41000BC9"/>
    <w:rsid w:val="41011BA7"/>
    <w:rsid w:val="410A6D04"/>
    <w:rsid w:val="410D6713"/>
    <w:rsid w:val="411E6701"/>
    <w:rsid w:val="4122223A"/>
    <w:rsid w:val="414A26B1"/>
    <w:rsid w:val="41502524"/>
    <w:rsid w:val="41524820"/>
    <w:rsid w:val="41635CB3"/>
    <w:rsid w:val="4165091F"/>
    <w:rsid w:val="416513ED"/>
    <w:rsid w:val="41837587"/>
    <w:rsid w:val="41912080"/>
    <w:rsid w:val="41B11641"/>
    <w:rsid w:val="41BA5E27"/>
    <w:rsid w:val="41D8019F"/>
    <w:rsid w:val="420C6834"/>
    <w:rsid w:val="420E61C7"/>
    <w:rsid w:val="42127780"/>
    <w:rsid w:val="42214860"/>
    <w:rsid w:val="42396491"/>
    <w:rsid w:val="42572165"/>
    <w:rsid w:val="42595C13"/>
    <w:rsid w:val="425B4D6F"/>
    <w:rsid w:val="426342DA"/>
    <w:rsid w:val="42825DB7"/>
    <w:rsid w:val="42A14A91"/>
    <w:rsid w:val="42AF21D5"/>
    <w:rsid w:val="42B41CA9"/>
    <w:rsid w:val="42BF7A3B"/>
    <w:rsid w:val="42C12E92"/>
    <w:rsid w:val="42CC0298"/>
    <w:rsid w:val="42D85335"/>
    <w:rsid w:val="42E0680C"/>
    <w:rsid w:val="42E97D50"/>
    <w:rsid w:val="42ED76EB"/>
    <w:rsid w:val="42F168AD"/>
    <w:rsid w:val="42F370BB"/>
    <w:rsid w:val="42F53C08"/>
    <w:rsid w:val="43040FA4"/>
    <w:rsid w:val="43280B88"/>
    <w:rsid w:val="432B5A8E"/>
    <w:rsid w:val="432E5685"/>
    <w:rsid w:val="433B7676"/>
    <w:rsid w:val="436048D6"/>
    <w:rsid w:val="436F41DB"/>
    <w:rsid w:val="43782087"/>
    <w:rsid w:val="43832B33"/>
    <w:rsid w:val="43A27B2E"/>
    <w:rsid w:val="43B37C93"/>
    <w:rsid w:val="43BB6FEE"/>
    <w:rsid w:val="43C67F8A"/>
    <w:rsid w:val="43CF4BBF"/>
    <w:rsid w:val="43DB4C98"/>
    <w:rsid w:val="43E46713"/>
    <w:rsid w:val="43E75935"/>
    <w:rsid w:val="43F23EA5"/>
    <w:rsid w:val="44063A72"/>
    <w:rsid w:val="443E512F"/>
    <w:rsid w:val="444511A6"/>
    <w:rsid w:val="4451273F"/>
    <w:rsid w:val="44513002"/>
    <w:rsid w:val="445D12D3"/>
    <w:rsid w:val="44714AE6"/>
    <w:rsid w:val="447C2BDC"/>
    <w:rsid w:val="44807A46"/>
    <w:rsid w:val="44850FCC"/>
    <w:rsid w:val="44A03307"/>
    <w:rsid w:val="44B56FA7"/>
    <w:rsid w:val="44D74DE3"/>
    <w:rsid w:val="44E271C5"/>
    <w:rsid w:val="44FB4B0D"/>
    <w:rsid w:val="44FC1CDD"/>
    <w:rsid w:val="45067CB9"/>
    <w:rsid w:val="453476A1"/>
    <w:rsid w:val="45426138"/>
    <w:rsid w:val="45486E5E"/>
    <w:rsid w:val="45552A5D"/>
    <w:rsid w:val="458152D5"/>
    <w:rsid w:val="45A26547"/>
    <w:rsid w:val="45A31DEB"/>
    <w:rsid w:val="45CD5AFF"/>
    <w:rsid w:val="46025E4E"/>
    <w:rsid w:val="463E42E3"/>
    <w:rsid w:val="464617D7"/>
    <w:rsid w:val="4648429F"/>
    <w:rsid w:val="464F6C0C"/>
    <w:rsid w:val="465E32AA"/>
    <w:rsid w:val="4673496C"/>
    <w:rsid w:val="46A522B8"/>
    <w:rsid w:val="46B16661"/>
    <w:rsid w:val="46BF1660"/>
    <w:rsid w:val="46E571B8"/>
    <w:rsid w:val="46E573DE"/>
    <w:rsid w:val="47094229"/>
    <w:rsid w:val="47096383"/>
    <w:rsid w:val="471108BA"/>
    <w:rsid w:val="471F1991"/>
    <w:rsid w:val="472A082B"/>
    <w:rsid w:val="472B3023"/>
    <w:rsid w:val="473432BF"/>
    <w:rsid w:val="473F01B7"/>
    <w:rsid w:val="473F70AB"/>
    <w:rsid w:val="474F191C"/>
    <w:rsid w:val="475A23B4"/>
    <w:rsid w:val="476E0052"/>
    <w:rsid w:val="478845B5"/>
    <w:rsid w:val="479441C9"/>
    <w:rsid w:val="47962B70"/>
    <w:rsid w:val="47A63AE6"/>
    <w:rsid w:val="47C04D15"/>
    <w:rsid w:val="47CB2200"/>
    <w:rsid w:val="47CF53B9"/>
    <w:rsid w:val="47DC3780"/>
    <w:rsid w:val="48092E41"/>
    <w:rsid w:val="480B5297"/>
    <w:rsid w:val="480C16D0"/>
    <w:rsid w:val="481E7901"/>
    <w:rsid w:val="481F6409"/>
    <w:rsid w:val="4820186F"/>
    <w:rsid w:val="48260473"/>
    <w:rsid w:val="48270D4B"/>
    <w:rsid w:val="48376819"/>
    <w:rsid w:val="48523D05"/>
    <w:rsid w:val="48673587"/>
    <w:rsid w:val="48680F9B"/>
    <w:rsid w:val="48741534"/>
    <w:rsid w:val="488434C1"/>
    <w:rsid w:val="48A61C3F"/>
    <w:rsid w:val="48AE11D5"/>
    <w:rsid w:val="48B255C6"/>
    <w:rsid w:val="48C025BB"/>
    <w:rsid w:val="48C31E11"/>
    <w:rsid w:val="48E02950"/>
    <w:rsid w:val="49011ADD"/>
    <w:rsid w:val="490A4475"/>
    <w:rsid w:val="491D508E"/>
    <w:rsid w:val="492517EA"/>
    <w:rsid w:val="4941558B"/>
    <w:rsid w:val="49435D4D"/>
    <w:rsid w:val="494D572C"/>
    <w:rsid w:val="49502831"/>
    <w:rsid w:val="49620E3D"/>
    <w:rsid w:val="497B5671"/>
    <w:rsid w:val="49820FD6"/>
    <w:rsid w:val="49857064"/>
    <w:rsid w:val="498A485A"/>
    <w:rsid w:val="498E4504"/>
    <w:rsid w:val="499134CA"/>
    <w:rsid w:val="49B8631F"/>
    <w:rsid w:val="49BF1D51"/>
    <w:rsid w:val="49D307F2"/>
    <w:rsid w:val="49DD3053"/>
    <w:rsid w:val="49DE556D"/>
    <w:rsid w:val="49E51F21"/>
    <w:rsid w:val="49EA79C2"/>
    <w:rsid w:val="4A07010C"/>
    <w:rsid w:val="4A0B20EB"/>
    <w:rsid w:val="4A1641A7"/>
    <w:rsid w:val="4A176EAB"/>
    <w:rsid w:val="4A3262A1"/>
    <w:rsid w:val="4A3776ED"/>
    <w:rsid w:val="4A4F2CA8"/>
    <w:rsid w:val="4A677EF0"/>
    <w:rsid w:val="4A6B385E"/>
    <w:rsid w:val="4A725EDD"/>
    <w:rsid w:val="4A7E3AFD"/>
    <w:rsid w:val="4A8F72E3"/>
    <w:rsid w:val="4A9358A4"/>
    <w:rsid w:val="4A984282"/>
    <w:rsid w:val="4A9F1799"/>
    <w:rsid w:val="4AB234DE"/>
    <w:rsid w:val="4AB70BAC"/>
    <w:rsid w:val="4AB95DDE"/>
    <w:rsid w:val="4ABD4532"/>
    <w:rsid w:val="4ACF73DC"/>
    <w:rsid w:val="4AD25966"/>
    <w:rsid w:val="4ADE0A5E"/>
    <w:rsid w:val="4ADF0CC3"/>
    <w:rsid w:val="4AE82964"/>
    <w:rsid w:val="4B037EBF"/>
    <w:rsid w:val="4B073D43"/>
    <w:rsid w:val="4B2A47C5"/>
    <w:rsid w:val="4B2A6344"/>
    <w:rsid w:val="4B3A082D"/>
    <w:rsid w:val="4B3E5801"/>
    <w:rsid w:val="4B411ED9"/>
    <w:rsid w:val="4B426407"/>
    <w:rsid w:val="4B440278"/>
    <w:rsid w:val="4B585F95"/>
    <w:rsid w:val="4B5B246A"/>
    <w:rsid w:val="4B6064D2"/>
    <w:rsid w:val="4B65139C"/>
    <w:rsid w:val="4B6943BD"/>
    <w:rsid w:val="4B6A74E4"/>
    <w:rsid w:val="4B823333"/>
    <w:rsid w:val="4B892A1E"/>
    <w:rsid w:val="4B9201B2"/>
    <w:rsid w:val="4B9D5B85"/>
    <w:rsid w:val="4BB00F0A"/>
    <w:rsid w:val="4BCF4332"/>
    <w:rsid w:val="4BD416DC"/>
    <w:rsid w:val="4BDF1892"/>
    <w:rsid w:val="4BEA686F"/>
    <w:rsid w:val="4C0665EA"/>
    <w:rsid w:val="4C151C9C"/>
    <w:rsid w:val="4C2D1212"/>
    <w:rsid w:val="4C456D42"/>
    <w:rsid w:val="4C5A5811"/>
    <w:rsid w:val="4C766F11"/>
    <w:rsid w:val="4CBA686B"/>
    <w:rsid w:val="4CC97214"/>
    <w:rsid w:val="4CD83ACE"/>
    <w:rsid w:val="4CE25CEA"/>
    <w:rsid w:val="4CEF41C3"/>
    <w:rsid w:val="4CF25BF7"/>
    <w:rsid w:val="4D067069"/>
    <w:rsid w:val="4D183113"/>
    <w:rsid w:val="4D230509"/>
    <w:rsid w:val="4D364C65"/>
    <w:rsid w:val="4D5060BB"/>
    <w:rsid w:val="4D565022"/>
    <w:rsid w:val="4D6C4BAC"/>
    <w:rsid w:val="4D774CA4"/>
    <w:rsid w:val="4D924E51"/>
    <w:rsid w:val="4DAC778B"/>
    <w:rsid w:val="4DAD1C98"/>
    <w:rsid w:val="4DB51294"/>
    <w:rsid w:val="4DB56375"/>
    <w:rsid w:val="4DBB08BA"/>
    <w:rsid w:val="4DCC38F3"/>
    <w:rsid w:val="4DD1609E"/>
    <w:rsid w:val="4DD50AA7"/>
    <w:rsid w:val="4DE0667F"/>
    <w:rsid w:val="4DE264CE"/>
    <w:rsid w:val="4DFE57FE"/>
    <w:rsid w:val="4DFF5FF1"/>
    <w:rsid w:val="4E025328"/>
    <w:rsid w:val="4E075CEB"/>
    <w:rsid w:val="4E121119"/>
    <w:rsid w:val="4E2B574C"/>
    <w:rsid w:val="4E302301"/>
    <w:rsid w:val="4E372FE4"/>
    <w:rsid w:val="4E38089E"/>
    <w:rsid w:val="4E496874"/>
    <w:rsid w:val="4E5B2119"/>
    <w:rsid w:val="4E5C4C01"/>
    <w:rsid w:val="4E637CB2"/>
    <w:rsid w:val="4E6A6FA1"/>
    <w:rsid w:val="4E741A30"/>
    <w:rsid w:val="4E793DE0"/>
    <w:rsid w:val="4E8C69A6"/>
    <w:rsid w:val="4E965B8D"/>
    <w:rsid w:val="4EBD1807"/>
    <w:rsid w:val="4EC31613"/>
    <w:rsid w:val="4ECF57BD"/>
    <w:rsid w:val="4EDA2736"/>
    <w:rsid w:val="4EE162A8"/>
    <w:rsid w:val="4F04323F"/>
    <w:rsid w:val="4F113988"/>
    <w:rsid w:val="4F213E27"/>
    <w:rsid w:val="4F2D2924"/>
    <w:rsid w:val="4F301AC3"/>
    <w:rsid w:val="4F316429"/>
    <w:rsid w:val="4F323663"/>
    <w:rsid w:val="4F402EC6"/>
    <w:rsid w:val="4F4169D7"/>
    <w:rsid w:val="4F5518AE"/>
    <w:rsid w:val="4F5D1475"/>
    <w:rsid w:val="4F696A03"/>
    <w:rsid w:val="4F6A46F2"/>
    <w:rsid w:val="4F720F6A"/>
    <w:rsid w:val="4F944C9F"/>
    <w:rsid w:val="4F993A8D"/>
    <w:rsid w:val="4FA94FB5"/>
    <w:rsid w:val="4FAC0692"/>
    <w:rsid w:val="4FB6456E"/>
    <w:rsid w:val="4FC20C1F"/>
    <w:rsid w:val="4FDD78F0"/>
    <w:rsid w:val="4FDF753E"/>
    <w:rsid w:val="4FE52F72"/>
    <w:rsid w:val="4FF16CD2"/>
    <w:rsid w:val="4FF74D29"/>
    <w:rsid w:val="4FF93F9B"/>
    <w:rsid w:val="4FFC69C0"/>
    <w:rsid w:val="500D6148"/>
    <w:rsid w:val="50183DF0"/>
    <w:rsid w:val="503620C2"/>
    <w:rsid w:val="504B1555"/>
    <w:rsid w:val="50507D21"/>
    <w:rsid w:val="50510103"/>
    <w:rsid w:val="506541C6"/>
    <w:rsid w:val="507465C8"/>
    <w:rsid w:val="50805B35"/>
    <w:rsid w:val="508A356E"/>
    <w:rsid w:val="50992130"/>
    <w:rsid w:val="50C97175"/>
    <w:rsid w:val="50CC2FCC"/>
    <w:rsid w:val="50D57CE6"/>
    <w:rsid w:val="50D65F65"/>
    <w:rsid w:val="50DB334B"/>
    <w:rsid w:val="50E21437"/>
    <w:rsid w:val="50F85487"/>
    <w:rsid w:val="511A3719"/>
    <w:rsid w:val="51257B98"/>
    <w:rsid w:val="513B3326"/>
    <w:rsid w:val="51457355"/>
    <w:rsid w:val="51535826"/>
    <w:rsid w:val="515C2950"/>
    <w:rsid w:val="515E7C97"/>
    <w:rsid w:val="51727C42"/>
    <w:rsid w:val="5180148C"/>
    <w:rsid w:val="51994C2D"/>
    <w:rsid w:val="519A3903"/>
    <w:rsid w:val="519B4A2B"/>
    <w:rsid w:val="51A57864"/>
    <w:rsid w:val="51AA0881"/>
    <w:rsid w:val="51B7481A"/>
    <w:rsid w:val="51E77C89"/>
    <w:rsid w:val="51EA0026"/>
    <w:rsid w:val="51EA4BE2"/>
    <w:rsid w:val="51EE2C75"/>
    <w:rsid w:val="51F11E6B"/>
    <w:rsid w:val="52006261"/>
    <w:rsid w:val="5204089F"/>
    <w:rsid w:val="520C0619"/>
    <w:rsid w:val="521451B9"/>
    <w:rsid w:val="52287E33"/>
    <w:rsid w:val="523F2037"/>
    <w:rsid w:val="52460A2E"/>
    <w:rsid w:val="52473C4B"/>
    <w:rsid w:val="525428EE"/>
    <w:rsid w:val="52574774"/>
    <w:rsid w:val="52691139"/>
    <w:rsid w:val="527258E5"/>
    <w:rsid w:val="527C0161"/>
    <w:rsid w:val="528B7AAE"/>
    <w:rsid w:val="528C10C1"/>
    <w:rsid w:val="529A52F1"/>
    <w:rsid w:val="52A82895"/>
    <w:rsid w:val="52B8768B"/>
    <w:rsid w:val="52D46E31"/>
    <w:rsid w:val="532574F9"/>
    <w:rsid w:val="53280F50"/>
    <w:rsid w:val="532921EC"/>
    <w:rsid w:val="533D2CF3"/>
    <w:rsid w:val="53405746"/>
    <w:rsid w:val="53405959"/>
    <w:rsid w:val="53533A00"/>
    <w:rsid w:val="535A0C0C"/>
    <w:rsid w:val="53607B2D"/>
    <w:rsid w:val="536D64CF"/>
    <w:rsid w:val="537774C1"/>
    <w:rsid w:val="538C3E23"/>
    <w:rsid w:val="539002DB"/>
    <w:rsid w:val="53A01A24"/>
    <w:rsid w:val="53B226AE"/>
    <w:rsid w:val="53B64300"/>
    <w:rsid w:val="53B91EE8"/>
    <w:rsid w:val="53BD01B4"/>
    <w:rsid w:val="53BD6EA5"/>
    <w:rsid w:val="53CD70FA"/>
    <w:rsid w:val="53E62415"/>
    <w:rsid w:val="53EA6CCD"/>
    <w:rsid w:val="53F61C92"/>
    <w:rsid w:val="54043C4D"/>
    <w:rsid w:val="540E357F"/>
    <w:rsid w:val="54355B7C"/>
    <w:rsid w:val="5446029F"/>
    <w:rsid w:val="544F115E"/>
    <w:rsid w:val="54526FE8"/>
    <w:rsid w:val="5463272C"/>
    <w:rsid w:val="54640E1A"/>
    <w:rsid w:val="546B1E80"/>
    <w:rsid w:val="546F6787"/>
    <w:rsid w:val="549322F1"/>
    <w:rsid w:val="54966782"/>
    <w:rsid w:val="54975465"/>
    <w:rsid w:val="549C458D"/>
    <w:rsid w:val="54AC075B"/>
    <w:rsid w:val="54C85164"/>
    <w:rsid w:val="54CD6572"/>
    <w:rsid w:val="54CF32E5"/>
    <w:rsid w:val="54E3079C"/>
    <w:rsid w:val="551A5823"/>
    <w:rsid w:val="552C39A0"/>
    <w:rsid w:val="55357193"/>
    <w:rsid w:val="555A776A"/>
    <w:rsid w:val="55616636"/>
    <w:rsid w:val="556A65D5"/>
    <w:rsid w:val="556B7121"/>
    <w:rsid w:val="55836C67"/>
    <w:rsid w:val="55850CA7"/>
    <w:rsid w:val="558B1BE8"/>
    <w:rsid w:val="55913A80"/>
    <w:rsid w:val="559B048C"/>
    <w:rsid w:val="55A36A00"/>
    <w:rsid w:val="55AB1D11"/>
    <w:rsid w:val="55C45C69"/>
    <w:rsid w:val="55CA47D8"/>
    <w:rsid w:val="55F032CB"/>
    <w:rsid w:val="55F51D36"/>
    <w:rsid w:val="55FB516F"/>
    <w:rsid w:val="56191883"/>
    <w:rsid w:val="561B0C9E"/>
    <w:rsid w:val="561B588E"/>
    <w:rsid w:val="56213131"/>
    <w:rsid w:val="562500D8"/>
    <w:rsid w:val="562B0197"/>
    <w:rsid w:val="563B0624"/>
    <w:rsid w:val="564E3613"/>
    <w:rsid w:val="564E508B"/>
    <w:rsid w:val="5654348B"/>
    <w:rsid w:val="56640C9E"/>
    <w:rsid w:val="56985815"/>
    <w:rsid w:val="56A06D7A"/>
    <w:rsid w:val="56A873FA"/>
    <w:rsid w:val="56AE6B1F"/>
    <w:rsid w:val="56B96F1C"/>
    <w:rsid w:val="56CB7349"/>
    <w:rsid w:val="56D705E1"/>
    <w:rsid w:val="56DC53DD"/>
    <w:rsid w:val="56EB3A10"/>
    <w:rsid w:val="56FC0BAA"/>
    <w:rsid w:val="5727562A"/>
    <w:rsid w:val="57287F99"/>
    <w:rsid w:val="57291DAF"/>
    <w:rsid w:val="5733789A"/>
    <w:rsid w:val="573E44A8"/>
    <w:rsid w:val="5741176F"/>
    <w:rsid w:val="57630C20"/>
    <w:rsid w:val="577B7F27"/>
    <w:rsid w:val="579E473E"/>
    <w:rsid w:val="57AC426F"/>
    <w:rsid w:val="57CE58EA"/>
    <w:rsid w:val="57D2108D"/>
    <w:rsid w:val="57D3704C"/>
    <w:rsid w:val="57E34404"/>
    <w:rsid w:val="58043759"/>
    <w:rsid w:val="5811418A"/>
    <w:rsid w:val="583920BA"/>
    <w:rsid w:val="58572459"/>
    <w:rsid w:val="585C7F60"/>
    <w:rsid w:val="58731BEB"/>
    <w:rsid w:val="58747801"/>
    <w:rsid w:val="58776D58"/>
    <w:rsid w:val="58893429"/>
    <w:rsid w:val="588C76B5"/>
    <w:rsid w:val="589F4206"/>
    <w:rsid w:val="58A021C5"/>
    <w:rsid w:val="58AA23FA"/>
    <w:rsid w:val="58B900F6"/>
    <w:rsid w:val="58C538FF"/>
    <w:rsid w:val="58D36933"/>
    <w:rsid w:val="58DB5C0F"/>
    <w:rsid w:val="58EA6BF7"/>
    <w:rsid w:val="58EF29B7"/>
    <w:rsid w:val="58EF6DF2"/>
    <w:rsid w:val="58F56C9A"/>
    <w:rsid w:val="590F5BC6"/>
    <w:rsid w:val="59133FED"/>
    <w:rsid w:val="59212ED4"/>
    <w:rsid w:val="59235A62"/>
    <w:rsid w:val="59306A44"/>
    <w:rsid w:val="59413F22"/>
    <w:rsid w:val="594C2BF8"/>
    <w:rsid w:val="59596DE6"/>
    <w:rsid w:val="59653404"/>
    <w:rsid w:val="59670A52"/>
    <w:rsid w:val="59784F1A"/>
    <w:rsid w:val="598046D7"/>
    <w:rsid w:val="59894CC5"/>
    <w:rsid w:val="598E033A"/>
    <w:rsid w:val="59963031"/>
    <w:rsid w:val="599B4DBA"/>
    <w:rsid w:val="59A0551A"/>
    <w:rsid w:val="59BF7076"/>
    <w:rsid w:val="59C045E0"/>
    <w:rsid w:val="59C06D38"/>
    <w:rsid w:val="59C5440A"/>
    <w:rsid w:val="59CC3C3A"/>
    <w:rsid w:val="59D27D17"/>
    <w:rsid w:val="59D328CB"/>
    <w:rsid w:val="59D94BE1"/>
    <w:rsid w:val="59DE1145"/>
    <w:rsid w:val="59DF027B"/>
    <w:rsid w:val="59E4723E"/>
    <w:rsid w:val="59F108C7"/>
    <w:rsid w:val="5A053E28"/>
    <w:rsid w:val="5A0A4EC0"/>
    <w:rsid w:val="5A0B3811"/>
    <w:rsid w:val="5A2173C5"/>
    <w:rsid w:val="5A313324"/>
    <w:rsid w:val="5A3309F4"/>
    <w:rsid w:val="5A3629EC"/>
    <w:rsid w:val="5A514B0D"/>
    <w:rsid w:val="5A622333"/>
    <w:rsid w:val="5A815856"/>
    <w:rsid w:val="5A8244C4"/>
    <w:rsid w:val="5A825896"/>
    <w:rsid w:val="5A920D39"/>
    <w:rsid w:val="5A947E74"/>
    <w:rsid w:val="5A9D6887"/>
    <w:rsid w:val="5A9E773F"/>
    <w:rsid w:val="5AA16F3D"/>
    <w:rsid w:val="5AA20CC4"/>
    <w:rsid w:val="5AA411E1"/>
    <w:rsid w:val="5AA7016A"/>
    <w:rsid w:val="5ABD490E"/>
    <w:rsid w:val="5AC8627F"/>
    <w:rsid w:val="5AD42534"/>
    <w:rsid w:val="5ADF57D3"/>
    <w:rsid w:val="5AED09EF"/>
    <w:rsid w:val="5AF65E4E"/>
    <w:rsid w:val="5B05025A"/>
    <w:rsid w:val="5B0941AE"/>
    <w:rsid w:val="5B0E2D0E"/>
    <w:rsid w:val="5B165D6B"/>
    <w:rsid w:val="5B194EC2"/>
    <w:rsid w:val="5B3F7450"/>
    <w:rsid w:val="5B59508E"/>
    <w:rsid w:val="5B6054CE"/>
    <w:rsid w:val="5B6556E0"/>
    <w:rsid w:val="5B773690"/>
    <w:rsid w:val="5B7B4168"/>
    <w:rsid w:val="5BAD480A"/>
    <w:rsid w:val="5BBC31EF"/>
    <w:rsid w:val="5BC3149B"/>
    <w:rsid w:val="5BD54226"/>
    <w:rsid w:val="5BDA28A1"/>
    <w:rsid w:val="5BDB3940"/>
    <w:rsid w:val="5BDE3690"/>
    <w:rsid w:val="5BF4269B"/>
    <w:rsid w:val="5BFC1E40"/>
    <w:rsid w:val="5BFE7B6E"/>
    <w:rsid w:val="5C07129E"/>
    <w:rsid w:val="5C1D595A"/>
    <w:rsid w:val="5C2B4F71"/>
    <w:rsid w:val="5C2D302E"/>
    <w:rsid w:val="5C302FD2"/>
    <w:rsid w:val="5C32713D"/>
    <w:rsid w:val="5C3E5E96"/>
    <w:rsid w:val="5C4261E5"/>
    <w:rsid w:val="5C476F35"/>
    <w:rsid w:val="5C4E190D"/>
    <w:rsid w:val="5C5A12B5"/>
    <w:rsid w:val="5C5C6EFF"/>
    <w:rsid w:val="5C6015F5"/>
    <w:rsid w:val="5C662132"/>
    <w:rsid w:val="5C695CD4"/>
    <w:rsid w:val="5C734F58"/>
    <w:rsid w:val="5C753FD4"/>
    <w:rsid w:val="5C795959"/>
    <w:rsid w:val="5C84594A"/>
    <w:rsid w:val="5C95573D"/>
    <w:rsid w:val="5C96350A"/>
    <w:rsid w:val="5C9B3BDC"/>
    <w:rsid w:val="5CA127FF"/>
    <w:rsid w:val="5CD87887"/>
    <w:rsid w:val="5CE31E1E"/>
    <w:rsid w:val="5CE4565E"/>
    <w:rsid w:val="5CEC5CA8"/>
    <w:rsid w:val="5CF2506F"/>
    <w:rsid w:val="5CF57316"/>
    <w:rsid w:val="5CF8096B"/>
    <w:rsid w:val="5D1A19A4"/>
    <w:rsid w:val="5D1F48B4"/>
    <w:rsid w:val="5D246BFA"/>
    <w:rsid w:val="5D3B4A54"/>
    <w:rsid w:val="5D4C74FE"/>
    <w:rsid w:val="5D4D0927"/>
    <w:rsid w:val="5D4D291A"/>
    <w:rsid w:val="5D5136D3"/>
    <w:rsid w:val="5D6D1025"/>
    <w:rsid w:val="5D7759ED"/>
    <w:rsid w:val="5D78539D"/>
    <w:rsid w:val="5D7C3B37"/>
    <w:rsid w:val="5D7D47EE"/>
    <w:rsid w:val="5D887556"/>
    <w:rsid w:val="5D8C045D"/>
    <w:rsid w:val="5D916044"/>
    <w:rsid w:val="5DA0350B"/>
    <w:rsid w:val="5DA857FD"/>
    <w:rsid w:val="5DB21C47"/>
    <w:rsid w:val="5DB40E67"/>
    <w:rsid w:val="5DD42382"/>
    <w:rsid w:val="5DD554A3"/>
    <w:rsid w:val="5DDD1B21"/>
    <w:rsid w:val="5DED6811"/>
    <w:rsid w:val="5DF03AF6"/>
    <w:rsid w:val="5E037B4A"/>
    <w:rsid w:val="5E07645C"/>
    <w:rsid w:val="5E1C3944"/>
    <w:rsid w:val="5E1C62E9"/>
    <w:rsid w:val="5E2F4A73"/>
    <w:rsid w:val="5E816CD6"/>
    <w:rsid w:val="5E82424C"/>
    <w:rsid w:val="5E8A79BC"/>
    <w:rsid w:val="5E962085"/>
    <w:rsid w:val="5EC17F05"/>
    <w:rsid w:val="5EC60264"/>
    <w:rsid w:val="5ECB734D"/>
    <w:rsid w:val="5ECC53DF"/>
    <w:rsid w:val="5EE55BFB"/>
    <w:rsid w:val="5EF409FA"/>
    <w:rsid w:val="5EF513A5"/>
    <w:rsid w:val="5EF80290"/>
    <w:rsid w:val="5F1138E8"/>
    <w:rsid w:val="5F235FB2"/>
    <w:rsid w:val="5F2468FB"/>
    <w:rsid w:val="5F303349"/>
    <w:rsid w:val="5F313C46"/>
    <w:rsid w:val="5F49767B"/>
    <w:rsid w:val="5F741727"/>
    <w:rsid w:val="5F7B7B47"/>
    <w:rsid w:val="5F8B3993"/>
    <w:rsid w:val="5FA63455"/>
    <w:rsid w:val="5FB31606"/>
    <w:rsid w:val="5FCF0BF8"/>
    <w:rsid w:val="5FD03221"/>
    <w:rsid w:val="5FE07299"/>
    <w:rsid w:val="5FEF794C"/>
    <w:rsid w:val="5FF31474"/>
    <w:rsid w:val="5FFA2B09"/>
    <w:rsid w:val="60025BF4"/>
    <w:rsid w:val="60033576"/>
    <w:rsid w:val="600B4532"/>
    <w:rsid w:val="600D048D"/>
    <w:rsid w:val="60100C71"/>
    <w:rsid w:val="60331A5B"/>
    <w:rsid w:val="603366B5"/>
    <w:rsid w:val="603B5FE1"/>
    <w:rsid w:val="603D1140"/>
    <w:rsid w:val="604013DD"/>
    <w:rsid w:val="60475F29"/>
    <w:rsid w:val="604A4412"/>
    <w:rsid w:val="604B6650"/>
    <w:rsid w:val="605B220E"/>
    <w:rsid w:val="606005A3"/>
    <w:rsid w:val="60632B37"/>
    <w:rsid w:val="60763B9B"/>
    <w:rsid w:val="60A97922"/>
    <w:rsid w:val="60BE52EF"/>
    <w:rsid w:val="60CC21FE"/>
    <w:rsid w:val="60D20EEB"/>
    <w:rsid w:val="60F450E1"/>
    <w:rsid w:val="61044713"/>
    <w:rsid w:val="610B056D"/>
    <w:rsid w:val="61156248"/>
    <w:rsid w:val="611901B0"/>
    <w:rsid w:val="611C219E"/>
    <w:rsid w:val="611D0DEE"/>
    <w:rsid w:val="612256BA"/>
    <w:rsid w:val="61333CED"/>
    <w:rsid w:val="61351119"/>
    <w:rsid w:val="6139153D"/>
    <w:rsid w:val="613A6CA3"/>
    <w:rsid w:val="6141409F"/>
    <w:rsid w:val="614B2088"/>
    <w:rsid w:val="61551C9F"/>
    <w:rsid w:val="6155695F"/>
    <w:rsid w:val="61714DB9"/>
    <w:rsid w:val="61755A34"/>
    <w:rsid w:val="617763F1"/>
    <w:rsid w:val="6179038D"/>
    <w:rsid w:val="61806057"/>
    <w:rsid w:val="618064C3"/>
    <w:rsid w:val="618F0BD8"/>
    <w:rsid w:val="61A11A08"/>
    <w:rsid w:val="61A11D6B"/>
    <w:rsid w:val="61AA5E89"/>
    <w:rsid w:val="61C1689C"/>
    <w:rsid w:val="61C45822"/>
    <w:rsid w:val="61C666C5"/>
    <w:rsid w:val="61C746FA"/>
    <w:rsid w:val="61CB4C93"/>
    <w:rsid w:val="61CE0A02"/>
    <w:rsid w:val="61D2635B"/>
    <w:rsid w:val="61E2612B"/>
    <w:rsid w:val="61E4467F"/>
    <w:rsid w:val="61E665AD"/>
    <w:rsid w:val="61FF3974"/>
    <w:rsid w:val="62094A62"/>
    <w:rsid w:val="62181A7F"/>
    <w:rsid w:val="622F7719"/>
    <w:rsid w:val="625324B4"/>
    <w:rsid w:val="6255105C"/>
    <w:rsid w:val="62551903"/>
    <w:rsid w:val="625F6B0F"/>
    <w:rsid w:val="626246D7"/>
    <w:rsid w:val="62967EFE"/>
    <w:rsid w:val="62A16671"/>
    <w:rsid w:val="62A55F24"/>
    <w:rsid w:val="62A80BA4"/>
    <w:rsid w:val="62AB5B4A"/>
    <w:rsid w:val="62AB7475"/>
    <w:rsid w:val="62B14197"/>
    <w:rsid w:val="62B83537"/>
    <w:rsid w:val="62C75FFA"/>
    <w:rsid w:val="62CB69A4"/>
    <w:rsid w:val="62FF0A0F"/>
    <w:rsid w:val="63094AF7"/>
    <w:rsid w:val="630C507E"/>
    <w:rsid w:val="631453F2"/>
    <w:rsid w:val="63263E0D"/>
    <w:rsid w:val="63275459"/>
    <w:rsid w:val="632C0CFB"/>
    <w:rsid w:val="632E68D0"/>
    <w:rsid w:val="634920A3"/>
    <w:rsid w:val="63595AFA"/>
    <w:rsid w:val="63610514"/>
    <w:rsid w:val="63670412"/>
    <w:rsid w:val="636840F2"/>
    <w:rsid w:val="638558A6"/>
    <w:rsid w:val="63864726"/>
    <w:rsid w:val="63AE4FFD"/>
    <w:rsid w:val="63B25E0F"/>
    <w:rsid w:val="63B465E2"/>
    <w:rsid w:val="63B6567E"/>
    <w:rsid w:val="63D10E5E"/>
    <w:rsid w:val="63EB75E5"/>
    <w:rsid w:val="63F8129E"/>
    <w:rsid w:val="64061D7E"/>
    <w:rsid w:val="640971F3"/>
    <w:rsid w:val="640D31E6"/>
    <w:rsid w:val="6416054E"/>
    <w:rsid w:val="641B0926"/>
    <w:rsid w:val="641C51CE"/>
    <w:rsid w:val="64281F40"/>
    <w:rsid w:val="64350122"/>
    <w:rsid w:val="643825C6"/>
    <w:rsid w:val="64386A65"/>
    <w:rsid w:val="643E4E2A"/>
    <w:rsid w:val="64432EB9"/>
    <w:rsid w:val="64454FE9"/>
    <w:rsid w:val="64473454"/>
    <w:rsid w:val="64695472"/>
    <w:rsid w:val="646A1934"/>
    <w:rsid w:val="647730EF"/>
    <w:rsid w:val="647773B3"/>
    <w:rsid w:val="64842B16"/>
    <w:rsid w:val="649A25E8"/>
    <w:rsid w:val="64B6042D"/>
    <w:rsid w:val="64B610E6"/>
    <w:rsid w:val="64DF7F9C"/>
    <w:rsid w:val="64E0725D"/>
    <w:rsid w:val="64F67030"/>
    <w:rsid w:val="650078BD"/>
    <w:rsid w:val="650172EA"/>
    <w:rsid w:val="65047619"/>
    <w:rsid w:val="650D5921"/>
    <w:rsid w:val="6513243B"/>
    <w:rsid w:val="65157991"/>
    <w:rsid w:val="651B66A4"/>
    <w:rsid w:val="652D7751"/>
    <w:rsid w:val="65372DFF"/>
    <w:rsid w:val="653D54BD"/>
    <w:rsid w:val="654815E2"/>
    <w:rsid w:val="654E6629"/>
    <w:rsid w:val="655441A4"/>
    <w:rsid w:val="656F18D6"/>
    <w:rsid w:val="6576175F"/>
    <w:rsid w:val="657D5E05"/>
    <w:rsid w:val="65BA025F"/>
    <w:rsid w:val="65C068C0"/>
    <w:rsid w:val="65C24CCB"/>
    <w:rsid w:val="65D81AA6"/>
    <w:rsid w:val="661F5F65"/>
    <w:rsid w:val="662167F2"/>
    <w:rsid w:val="66312A4A"/>
    <w:rsid w:val="66411E12"/>
    <w:rsid w:val="66524777"/>
    <w:rsid w:val="665312E1"/>
    <w:rsid w:val="665511FE"/>
    <w:rsid w:val="66556AA6"/>
    <w:rsid w:val="665B658C"/>
    <w:rsid w:val="66767F5A"/>
    <w:rsid w:val="668F04BA"/>
    <w:rsid w:val="669139F7"/>
    <w:rsid w:val="66B31E9A"/>
    <w:rsid w:val="66B809D4"/>
    <w:rsid w:val="66C75552"/>
    <w:rsid w:val="66C93CF8"/>
    <w:rsid w:val="66D3144A"/>
    <w:rsid w:val="66D622D1"/>
    <w:rsid w:val="66F07326"/>
    <w:rsid w:val="66F879A3"/>
    <w:rsid w:val="67111D2D"/>
    <w:rsid w:val="6719545E"/>
    <w:rsid w:val="671F0C32"/>
    <w:rsid w:val="6721259F"/>
    <w:rsid w:val="672178A5"/>
    <w:rsid w:val="6739724C"/>
    <w:rsid w:val="67466509"/>
    <w:rsid w:val="674F247E"/>
    <w:rsid w:val="67595ABE"/>
    <w:rsid w:val="678E7171"/>
    <w:rsid w:val="67985CB7"/>
    <w:rsid w:val="67AA1414"/>
    <w:rsid w:val="67BF68E8"/>
    <w:rsid w:val="67C35A8C"/>
    <w:rsid w:val="67DE7395"/>
    <w:rsid w:val="67EC7A3B"/>
    <w:rsid w:val="680D57A4"/>
    <w:rsid w:val="6826065C"/>
    <w:rsid w:val="68366721"/>
    <w:rsid w:val="683A5E99"/>
    <w:rsid w:val="684766A2"/>
    <w:rsid w:val="684C08AC"/>
    <w:rsid w:val="685D76D0"/>
    <w:rsid w:val="68646AA2"/>
    <w:rsid w:val="68646F0C"/>
    <w:rsid w:val="688965DD"/>
    <w:rsid w:val="688D2D72"/>
    <w:rsid w:val="689122A8"/>
    <w:rsid w:val="689130BA"/>
    <w:rsid w:val="68A13712"/>
    <w:rsid w:val="68A635DA"/>
    <w:rsid w:val="68C420B8"/>
    <w:rsid w:val="68CA098B"/>
    <w:rsid w:val="68D4671A"/>
    <w:rsid w:val="68DC7D80"/>
    <w:rsid w:val="68E177A1"/>
    <w:rsid w:val="68E30892"/>
    <w:rsid w:val="68E876AA"/>
    <w:rsid w:val="68EE27C2"/>
    <w:rsid w:val="69121DD0"/>
    <w:rsid w:val="691274E6"/>
    <w:rsid w:val="69194051"/>
    <w:rsid w:val="692C21BF"/>
    <w:rsid w:val="693035A7"/>
    <w:rsid w:val="69453655"/>
    <w:rsid w:val="694C5BE1"/>
    <w:rsid w:val="695219D1"/>
    <w:rsid w:val="695A5723"/>
    <w:rsid w:val="69653A95"/>
    <w:rsid w:val="696E081D"/>
    <w:rsid w:val="697A7726"/>
    <w:rsid w:val="698035A8"/>
    <w:rsid w:val="698E0FD8"/>
    <w:rsid w:val="699607CE"/>
    <w:rsid w:val="6998684E"/>
    <w:rsid w:val="699D69F0"/>
    <w:rsid w:val="69A03711"/>
    <w:rsid w:val="69BE3F22"/>
    <w:rsid w:val="69C94241"/>
    <w:rsid w:val="69CD1AE2"/>
    <w:rsid w:val="69D92566"/>
    <w:rsid w:val="69DB1EE9"/>
    <w:rsid w:val="69EB5FEA"/>
    <w:rsid w:val="69EC5311"/>
    <w:rsid w:val="69F020F2"/>
    <w:rsid w:val="69F23818"/>
    <w:rsid w:val="69F54EB9"/>
    <w:rsid w:val="6A01101E"/>
    <w:rsid w:val="6A014C62"/>
    <w:rsid w:val="6A281AAB"/>
    <w:rsid w:val="6A283BDA"/>
    <w:rsid w:val="6A2D32EE"/>
    <w:rsid w:val="6A3E2A0E"/>
    <w:rsid w:val="6A424113"/>
    <w:rsid w:val="6A457199"/>
    <w:rsid w:val="6A526A1E"/>
    <w:rsid w:val="6A5F7554"/>
    <w:rsid w:val="6A873558"/>
    <w:rsid w:val="6A9D18D6"/>
    <w:rsid w:val="6AC434D1"/>
    <w:rsid w:val="6ACF2B6B"/>
    <w:rsid w:val="6AD0503B"/>
    <w:rsid w:val="6AD1386D"/>
    <w:rsid w:val="6AD33387"/>
    <w:rsid w:val="6AD70D91"/>
    <w:rsid w:val="6AD72AC0"/>
    <w:rsid w:val="6ADB09B6"/>
    <w:rsid w:val="6AE95373"/>
    <w:rsid w:val="6AEA286B"/>
    <w:rsid w:val="6AED75C2"/>
    <w:rsid w:val="6AF519B2"/>
    <w:rsid w:val="6AFC170E"/>
    <w:rsid w:val="6B1A46F7"/>
    <w:rsid w:val="6B2E5BA3"/>
    <w:rsid w:val="6B343007"/>
    <w:rsid w:val="6B362E1F"/>
    <w:rsid w:val="6B3722AB"/>
    <w:rsid w:val="6B3C6568"/>
    <w:rsid w:val="6B80115D"/>
    <w:rsid w:val="6B912EDA"/>
    <w:rsid w:val="6B945C46"/>
    <w:rsid w:val="6B9717B0"/>
    <w:rsid w:val="6B9D731A"/>
    <w:rsid w:val="6BCB44C6"/>
    <w:rsid w:val="6BD64886"/>
    <w:rsid w:val="6BDE5563"/>
    <w:rsid w:val="6BE64561"/>
    <w:rsid w:val="6C043BD4"/>
    <w:rsid w:val="6C12100F"/>
    <w:rsid w:val="6C12197A"/>
    <w:rsid w:val="6C1709D1"/>
    <w:rsid w:val="6C291C9C"/>
    <w:rsid w:val="6C2A0233"/>
    <w:rsid w:val="6C3B3AA9"/>
    <w:rsid w:val="6C3C3A72"/>
    <w:rsid w:val="6C4801BD"/>
    <w:rsid w:val="6C583D2A"/>
    <w:rsid w:val="6C6D4B8B"/>
    <w:rsid w:val="6C6D73F8"/>
    <w:rsid w:val="6C866EDC"/>
    <w:rsid w:val="6C8E484E"/>
    <w:rsid w:val="6C95169B"/>
    <w:rsid w:val="6C9E31E7"/>
    <w:rsid w:val="6CB6462B"/>
    <w:rsid w:val="6CC12E34"/>
    <w:rsid w:val="6CCD3474"/>
    <w:rsid w:val="6CD2001C"/>
    <w:rsid w:val="6CD9506A"/>
    <w:rsid w:val="6CF5291D"/>
    <w:rsid w:val="6CF83993"/>
    <w:rsid w:val="6CFA7F00"/>
    <w:rsid w:val="6D0335EE"/>
    <w:rsid w:val="6D3469CE"/>
    <w:rsid w:val="6D400C69"/>
    <w:rsid w:val="6D4128C2"/>
    <w:rsid w:val="6D4E0254"/>
    <w:rsid w:val="6D646225"/>
    <w:rsid w:val="6D6863BF"/>
    <w:rsid w:val="6D6A39CB"/>
    <w:rsid w:val="6D71575D"/>
    <w:rsid w:val="6D8073B3"/>
    <w:rsid w:val="6D8E5E43"/>
    <w:rsid w:val="6D971C9B"/>
    <w:rsid w:val="6D973CD3"/>
    <w:rsid w:val="6DAC0AF2"/>
    <w:rsid w:val="6DC60435"/>
    <w:rsid w:val="6DC819A5"/>
    <w:rsid w:val="6DCC477C"/>
    <w:rsid w:val="6DDB212D"/>
    <w:rsid w:val="6DE27C43"/>
    <w:rsid w:val="6DEE436D"/>
    <w:rsid w:val="6DF63461"/>
    <w:rsid w:val="6DFB00EC"/>
    <w:rsid w:val="6DFC3793"/>
    <w:rsid w:val="6E0321AE"/>
    <w:rsid w:val="6E094711"/>
    <w:rsid w:val="6E2153C9"/>
    <w:rsid w:val="6E3F56DF"/>
    <w:rsid w:val="6E480644"/>
    <w:rsid w:val="6E527BE5"/>
    <w:rsid w:val="6E540CD2"/>
    <w:rsid w:val="6E5470DE"/>
    <w:rsid w:val="6E5B6597"/>
    <w:rsid w:val="6E603667"/>
    <w:rsid w:val="6E61473A"/>
    <w:rsid w:val="6E685A06"/>
    <w:rsid w:val="6E7C385A"/>
    <w:rsid w:val="6E8260E8"/>
    <w:rsid w:val="6E841ABE"/>
    <w:rsid w:val="6EA02DC9"/>
    <w:rsid w:val="6EC16BBC"/>
    <w:rsid w:val="6ECF4921"/>
    <w:rsid w:val="6EEE4F18"/>
    <w:rsid w:val="6EF243CE"/>
    <w:rsid w:val="6EF83918"/>
    <w:rsid w:val="6EFD1464"/>
    <w:rsid w:val="6F025380"/>
    <w:rsid w:val="6F060FF9"/>
    <w:rsid w:val="6F10420D"/>
    <w:rsid w:val="6F110CFF"/>
    <w:rsid w:val="6F3905B6"/>
    <w:rsid w:val="6F390BB6"/>
    <w:rsid w:val="6F3B2220"/>
    <w:rsid w:val="6F4502DE"/>
    <w:rsid w:val="6F457B79"/>
    <w:rsid w:val="6F5D2C00"/>
    <w:rsid w:val="6F7D1155"/>
    <w:rsid w:val="6F8470FD"/>
    <w:rsid w:val="6F903AEB"/>
    <w:rsid w:val="6F97316F"/>
    <w:rsid w:val="6F9A3CA9"/>
    <w:rsid w:val="6F9B16A0"/>
    <w:rsid w:val="6FA61E68"/>
    <w:rsid w:val="6FB16B58"/>
    <w:rsid w:val="6FBE0EBF"/>
    <w:rsid w:val="6FE44C61"/>
    <w:rsid w:val="6FF4427F"/>
    <w:rsid w:val="70014A91"/>
    <w:rsid w:val="70320267"/>
    <w:rsid w:val="703A38E9"/>
    <w:rsid w:val="7044696A"/>
    <w:rsid w:val="70606A87"/>
    <w:rsid w:val="70747C32"/>
    <w:rsid w:val="709A2ADE"/>
    <w:rsid w:val="709D2472"/>
    <w:rsid w:val="70B921E5"/>
    <w:rsid w:val="70BD20D4"/>
    <w:rsid w:val="70C079A9"/>
    <w:rsid w:val="70DA1C6F"/>
    <w:rsid w:val="70E410DB"/>
    <w:rsid w:val="70EE4446"/>
    <w:rsid w:val="70F0532D"/>
    <w:rsid w:val="71155A72"/>
    <w:rsid w:val="711574A7"/>
    <w:rsid w:val="712636DE"/>
    <w:rsid w:val="714039EF"/>
    <w:rsid w:val="714F1EB1"/>
    <w:rsid w:val="71522BF6"/>
    <w:rsid w:val="71821BAB"/>
    <w:rsid w:val="718435CD"/>
    <w:rsid w:val="71932E96"/>
    <w:rsid w:val="71A22058"/>
    <w:rsid w:val="71A77009"/>
    <w:rsid w:val="71B33DD2"/>
    <w:rsid w:val="71B920BD"/>
    <w:rsid w:val="71BC4D5F"/>
    <w:rsid w:val="71BE7446"/>
    <w:rsid w:val="71BF2394"/>
    <w:rsid w:val="71C721DF"/>
    <w:rsid w:val="71CF46E0"/>
    <w:rsid w:val="71D1218F"/>
    <w:rsid w:val="71E33EB5"/>
    <w:rsid w:val="71E51A6D"/>
    <w:rsid w:val="71EE3C67"/>
    <w:rsid w:val="71F243D3"/>
    <w:rsid w:val="71FB3C45"/>
    <w:rsid w:val="71FB5397"/>
    <w:rsid w:val="71FE6835"/>
    <w:rsid w:val="72023623"/>
    <w:rsid w:val="720813C7"/>
    <w:rsid w:val="72187C30"/>
    <w:rsid w:val="721F58CB"/>
    <w:rsid w:val="724A560F"/>
    <w:rsid w:val="72836E5A"/>
    <w:rsid w:val="72A4738C"/>
    <w:rsid w:val="72B93750"/>
    <w:rsid w:val="72CB7C83"/>
    <w:rsid w:val="72CF5BAB"/>
    <w:rsid w:val="72D71B10"/>
    <w:rsid w:val="72D80D03"/>
    <w:rsid w:val="72DC3E2B"/>
    <w:rsid w:val="72E6692A"/>
    <w:rsid w:val="72EE1E6A"/>
    <w:rsid w:val="72F766CB"/>
    <w:rsid w:val="72FF2631"/>
    <w:rsid w:val="73030BDC"/>
    <w:rsid w:val="73052249"/>
    <w:rsid w:val="73060FCA"/>
    <w:rsid w:val="731F410F"/>
    <w:rsid w:val="732075AA"/>
    <w:rsid w:val="732820E3"/>
    <w:rsid w:val="734D6914"/>
    <w:rsid w:val="735A161A"/>
    <w:rsid w:val="735D348A"/>
    <w:rsid w:val="73787D66"/>
    <w:rsid w:val="73802650"/>
    <w:rsid w:val="73864EF7"/>
    <w:rsid w:val="739A166C"/>
    <w:rsid w:val="73A436FE"/>
    <w:rsid w:val="73A86C0D"/>
    <w:rsid w:val="73B1442B"/>
    <w:rsid w:val="73D75E4D"/>
    <w:rsid w:val="73ED334F"/>
    <w:rsid w:val="73F12739"/>
    <w:rsid w:val="74131342"/>
    <w:rsid w:val="7415616E"/>
    <w:rsid w:val="74183DF1"/>
    <w:rsid w:val="741C493C"/>
    <w:rsid w:val="742021CC"/>
    <w:rsid w:val="74314D3F"/>
    <w:rsid w:val="743403C2"/>
    <w:rsid w:val="74342E6E"/>
    <w:rsid w:val="74370F4F"/>
    <w:rsid w:val="7439678C"/>
    <w:rsid w:val="743B1C3D"/>
    <w:rsid w:val="74413FB8"/>
    <w:rsid w:val="74423E4A"/>
    <w:rsid w:val="74527561"/>
    <w:rsid w:val="74547959"/>
    <w:rsid w:val="745E5CA0"/>
    <w:rsid w:val="74652882"/>
    <w:rsid w:val="7480345B"/>
    <w:rsid w:val="74857A74"/>
    <w:rsid w:val="74B06CD2"/>
    <w:rsid w:val="74CC4A22"/>
    <w:rsid w:val="74CE02D8"/>
    <w:rsid w:val="74D554CD"/>
    <w:rsid w:val="74DD7FA1"/>
    <w:rsid w:val="74E66224"/>
    <w:rsid w:val="74E9782A"/>
    <w:rsid w:val="74F527B2"/>
    <w:rsid w:val="750F753D"/>
    <w:rsid w:val="75121990"/>
    <w:rsid w:val="751B4D0D"/>
    <w:rsid w:val="75540DF3"/>
    <w:rsid w:val="756C79A6"/>
    <w:rsid w:val="756E7634"/>
    <w:rsid w:val="75723806"/>
    <w:rsid w:val="75765A23"/>
    <w:rsid w:val="75790C14"/>
    <w:rsid w:val="757D691A"/>
    <w:rsid w:val="7593316B"/>
    <w:rsid w:val="75940E89"/>
    <w:rsid w:val="75942A04"/>
    <w:rsid w:val="75980B8B"/>
    <w:rsid w:val="75A00CF6"/>
    <w:rsid w:val="75A42EED"/>
    <w:rsid w:val="75B149E9"/>
    <w:rsid w:val="75E065E5"/>
    <w:rsid w:val="75F533F0"/>
    <w:rsid w:val="75F56A90"/>
    <w:rsid w:val="760510F6"/>
    <w:rsid w:val="761F4F10"/>
    <w:rsid w:val="761F5463"/>
    <w:rsid w:val="76296F28"/>
    <w:rsid w:val="7630788B"/>
    <w:rsid w:val="76311A6B"/>
    <w:rsid w:val="76437C1F"/>
    <w:rsid w:val="7644216A"/>
    <w:rsid w:val="76445DAA"/>
    <w:rsid w:val="764843B7"/>
    <w:rsid w:val="76525D0F"/>
    <w:rsid w:val="76557C0C"/>
    <w:rsid w:val="76684532"/>
    <w:rsid w:val="767035FC"/>
    <w:rsid w:val="767B4625"/>
    <w:rsid w:val="769D29B6"/>
    <w:rsid w:val="76A23629"/>
    <w:rsid w:val="76A32392"/>
    <w:rsid w:val="76A6031C"/>
    <w:rsid w:val="76B232FE"/>
    <w:rsid w:val="76B42A8D"/>
    <w:rsid w:val="76B91B83"/>
    <w:rsid w:val="76C006C6"/>
    <w:rsid w:val="76C827C7"/>
    <w:rsid w:val="76CD3B8D"/>
    <w:rsid w:val="76CE6E44"/>
    <w:rsid w:val="76D35B63"/>
    <w:rsid w:val="76FD543F"/>
    <w:rsid w:val="76FE3182"/>
    <w:rsid w:val="770C5968"/>
    <w:rsid w:val="7720141F"/>
    <w:rsid w:val="77220761"/>
    <w:rsid w:val="7726153F"/>
    <w:rsid w:val="77307DED"/>
    <w:rsid w:val="7736463C"/>
    <w:rsid w:val="774B6836"/>
    <w:rsid w:val="77595B84"/>
    <w:rsid w:val="776029B5"/>
    <w:rsid w:val="77642AAE"/>
    <w:rsid w:val="77696E07"/>
    <w:rsid w:val="777176FF"/>
    <w:rsid w:val="77830B87"/>
    <w:rsid w:val="77B53297"/>
    <w:rsid w:val="77CE12E8"/>
    <w:rsid w:val="78076708"/>
    <w:rsid w:val="781D513D"/>
    <w:rsid w:val="78314C23"/>
    <w:rsid w:val="784154CA"/>
    <w:rsid w:val="78787FC6"/>
    <w:rsid w:val="787900ED"/>
    <w:rsid w:val="78793653"/>
    <w:rsid w:val="787B7E63"/>
    <w:rsid w:val="788A0507"/>
    <w:rsid w:val="78A078E0"/>
    <w:rsid w:val="78B76E13"/>
    <w:rsid w:val="78C50EC5"/>
    <w:rsid w:val="78CB5AF8"/>
    <w:rsid w:val="78F415F9"/>
    <w:rsid w:val="79151079"/>
    <w:rsid w:val="791A067C"/>
    <w:rsid w:val="79266C45"/>
    <w:rsid w:val="793F7BC0"/>
    <w:rsid w:val="794F0CAE"/>
    <w:rsid w:val="7964544D"/>
    <w:rsid w:val="79740D51"/>
    <w:rsid w:val="79797E56"/>
    <w:rsid w:val="797A44B7"/>
    <w:rsid w:val="798263C1"/>
    <w:rsid w:val="79885E71"/>
    <w:rsid w:val="7988712F"/>
    <w:rsid w:val="798E34AD"/>
    <w:rsid w:val="79917D4F"/>
    <w:rsid w:val="799B5663"/>
    <w:rsid w:val="79BE5213"/>
    <w:rsid w:val="79C7327E"/>
    <w:rsid w:val="79D961FC"/>
    <w:rsid w:val="79DB1AE3"/>
    <w:rsid w:val="79DE560D"/>
    <w:rsid w:val="79EF6347"/>
    <w:rsid w:val="79F41735"/>
    <w:rsid w:val="79F60B40"/>
    <w:rsid w:val="7A0F1F33"/>
    <w:rsid w:val="7A161044"/>
    <w:rsid w:val="7A3C11BB"/>
    <w:rsid w:val="7A3D6F43"/>
    <w:rsid w:val="7A44382D"/>
    <w:rsid w:val="7A465DAB"/>
    <w:rsid w:val="7A5B06CE"/>
    <w:rsid w:val="7A613455"/>
    <w:rsid w:val="7A786981"/>
    <w:rsid w:val="7A8F1D06"/>
    <w:rsid w:val="7A9B711F"/>
    <w:rsid w:val="7AA0479B"/>
    <w:rsid w:val="7AA83CDA"/>
    <w:rsid w:val="7AAF65C2"/>
    <w:rsid w:val="7AB064B5"/>
    <w:rsid w:val="7AB22791"/>
    <w:rsid w:val="7AC72324"/>
    <w:rsid w:val="7AD56CD3"/>
    <w:rsid w:val="7AEC4478"/>
    <w:rsid w:val="7AF944F0"/>
    <w:rsid w:val="7B104880"/>
    <w:rsid w:val="7B3B2A2D"/>
    <w:rsid w:val="7B3D6E75"/>
    <w:rsid w:val="7B461084"/>
    <w:rsid w:val="7B4B646A"/>
    <w:rsid w:val="7B534F2D"/>
    <w:rsid w:val="7B6A69E7"/>
    <w:rsid w:val="7B6B53D4"/>
    <w:rsid w:val="7B6B5EF0"/>
    <w:rsid w:val="7B6C2D65"/>
    <w:rsid w:val="7B734839"/>
    <w:rsid w:val="7B7A0AC9"/>
    <w:rsid w:val="7B87736E"/>
    <w:rsid w:val="7BA0593B"/>
    <w:rsid w:val="7BB217A5"/>
    <w:rsid w:val="7BB6510D"/>
    <w:rsid w:val="7BB87815"/>
    <w:rsid w:val="7BE830CC"/>
    <w:rsid w:val="7C020F9E"/>
    <w:rsid w:val="7C0B5028"/>
    <w:rsid w:val="7C0E0CDB"/>
    <w:rsid w:val="7C114CEE"/>
    <w:rsid w:val="7C124888"/>
    <w:rsid w:val="7C216207"/>
    <w:rsid w:val="7C3242FF"/>
    <w:rsid w:val="7C400FB6"/>
    <w:rsid w:val="7C445B14"/>
    <w:rsid w:val="7C524BF7"/>
    <w:rsid w:val="7C5D5066"/>
    <w:rsid w:val="7C897AF2"/>
    <w:rsid w:val="7C9638A5"/>
    <w:rsid w:val="7C9F5DC1"/>
    <w:rsid w:val="7CAD685B"/>
    <w:rsid w:val="7CB6425D"/>
    <w:rsid w:val="7CB87DC2"/>
    <w:rsid w:val="7CC4246A"/>
    <w:rsid w:val="7CC53A6E"/>
    <w:rsid w:val="7CCF0EBA"/>
    <w:rsid w:val="7CDA7424"/>
    <w:rsid w:val="7CDB2FA0"/>
    <w:rsid w:val="7CDC3166"/>
    <w:rsid w:val="7CF4137B"/>
    <w:rsid w:val="7D000A96"/>
    <w:rsid w:val="7D4C7F65"/>
    <w:rsid w:val="7D5764D3"/>
    <w:rsid w:val="7D652F00"/>
    <w:rsid w:val="7D660AF0"/>
    <w:rsid w:val="7D66461C"/>
    <w:rsid w:val="7D714334"/>
    <w:rsid w:val="7D7A11B6"/>
    <w:rsid w:val="7D9E2E23"/>
    <w:rsid w:val="7DAD70A0"/>
    <w:rsid w:val="7DD478C5"/>
    <w:rsid w:val="7DDE19F2"/>
    <w:rsid w:val="7DF445F6"/>
    <w:rsid w:val="7DF66F04"/>
    <w:rsid w:val="7DF808D8"/>
    <w:rsid w:val="7E00695E"/>
    <w:rsid w:val="7E013FD3"/>
    <w:rsid w:val="7E072AF3"/>
    <w:rsid w:val="7E297D2B"/>
    <w:rsid w:val="7E2E18BD"/>
    <w:rsid w:val="7E3C0941"/>
    <w:rsid w:val="7E463591"/>
    <w:rsid w:val="7E4C2B75"/>
    <w:rsid w:val="7E5D299F"/>
    <w:rsid w:val="7E64379B"/>
    <w:rsid w:val="7E6B55E3"/>
    <w:rsid w:val="7E6D6600"/>
    <w:rsid w:val="7E7E53D3"/>
    <w:rsid w:val="7EB34739"/>
    <w:rsid w:val="7EC6760E"/>
    <w:rsid w:val="7ECB6FBC"/>
    <w:rsid w:val="7ECE65C5"/>
    <w:rsid w:val="7ED23B51"/>
    <w:rsid w:val="7ED90702"/>
    <w:rsid w:val="7EE205C7"/>
    <w:rsid w:val="7EEA62CA"/>
    <w:rsid w:val="7EEB3C52"/>
    <w:rsid w:val="7F22760B"/>
    <w:rsid w:val="7F292587"/>
    <w:rsid w:val="7F32071C"/>
    <w:rsid w:val="7F686428"/>
    <w:rsid w:val="7F777C4A"/>
    <w:rsid w:val="7F802E3E"/>
    <w:rsid w:val="7F8208B4"/>
    <w:rsid w:val="7F8646DC"/>
    <w:rsid w:val="7F9312B2"/>
    <w:rsid w:val="7F9418F8"/>
    <w:rsid w:val="7F9F1601"/>
    <w:rsid w:val="7F9F4E3D"/>
    <w:rsid w:val="7FA859E0"/>
    <w:rsid w:val="7FBE0303"/>
    <w:rsid w:val="7FC72CE7"/>
    <w:rsid w:val="7FD64769"/>
    <w:rsid w:val="7FE944AC"/>
    <w:rsid w:val="7FF53B2A"/>
    <w:rsid w:val="7FF917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spacing w:line="240" w:lineRule="atLeast"/>
      <w:jc w:val="center"/>
      <w:outlineLvl w:val="0"/>
    </w:pPr>
    <w:rPr>
      <w:rFonts w:ascii="Times New Roman"/>
      <w:b/>
      <w:sz w:val="32"/>
    </w:rPr>
  </w:style>
  <w:style w:type="paragraph" w:styleId="4">
    <w:name w:val="heading 2"/>
    <w:basedOn w:val="1"/>
    <w:next w:val="1"/>
    <w:qFormat/>
    <w:uiPriority w:val="0"/>
    <w:pPr>
      <w:keepNext/>
      <w:jc w:val="center"/>
      <w:outlineLvl w:val="1"/>
    </w:pPr>
    <w:rPr>
      <w:rFonts w:ascii="黑体" w:hAnsi="Times New Roman" w:eastAsia="黑体"/>
      <w:b/>
      <w:color w:val="000000"/>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Indent"/>
    <w:basedOn w:val="1"/>
    <w:qFormat/>
    <w:uiPriority w:val="0"/>
    <w:pPr>
      <w:spacing w:line="540" w:lineRule="exact"/>
      <w:ind w:firstLine="480" w:firstLineChars="200"/>
    </w:pPr>
    <w:rPr>
      <w:sz w:val="24"/>
    </w:rPr>
  </w:style>
  <w:style w:type="paragraph" w:styleId="8">
    <w:name w:val="Plain Text"/>
    <w:basedOn w:val="1"/>
    <w:link w:val="33"/>
    <w:unhideWhenUsed/>
    <w:qFormat/>
    <w:uiPriority w:val="0"/>
    <w:rPr>
      <w:rFonts w:ascii="宋体" w:hAnsi="Courier New"/>
    </w:rPr>
  </w:style>
  <w:style w:type="paragraph" w:styleId="9">
    <w:name w:val="Date"/>
    <w:basedOn w:val="1"/>
    <w:next w:val="1"/>
    <w:link w:val="32"/>
    <w:qFormat/>
    <w:uiPriority w:val="0"/>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adjustRightInd w:val="0"/>
      <w:spacing w:line="360" w:lineRule="auto"/>
      <w:ind w:firstLine="425"/>
      <w:jc w:val="left"/>
      <w:textAlignment w:val="baseline"/>
    </w:pPr>
    <w:rPr>
      <w:b/>
      <w:caps/>
      <w:sz w:val="20"/>
    </w:rPr>
  </w:style>
  <w:style w:type="paragraph" w:styleId="13">
    <w:name w:val="Subtitle"/>
    <w:basedOn w:val="1"/>
    <w:next w:val="1"/>
    <w:qFormat/>
    <w:uiPriority w:val="0"/>
    <w:pPr>
      <w:spacing w:line="312" w:lineRule="auto"/>
      <w:jc w:val="center"/>
      <w:outlineLvl w:val="1"/>
    </w:pPr>
    <w:rPr>
      <w:rFonts w:ascii="Cambria" w:hAnsi="Cambria"/>
      <w:b/>
      <w:bCs/>
      <w:kern w:val="28"/>
      <w:sz w:val="32"/>
      <w:szCs w:val="32"/>
    </w:rPr>
  </w:style>
  <w:style w:type="paragraph" w:styleId="14">
    <w:name w:val="Normal (Web)"/>
    <w:basedOn w:val="1"/>
    <w:qFormat/>
    <w:uiPriority w:val="0"/>
    <w:pPr>
      <w:widowControl/>
      <w:spacing w:beforeAutospacing="1" w:afterAutospacing="1"/>
      <w:jc w:val="left"/>
    </w:pPr>
    <w:rPr>
      <w:rFonts w:ascii="Arial Unicode MS" w:hAnsi="Arial Unicode MS" w:eastAsia="Arial Unicode MS"/>
      <w:kern w:val="0"/>
      <w:sz w:val="24"/>
    </w:rPr>
  </w:style>
  <w:style w:type="paragraph" w:styleId="15">
    <w:name w:val="Title"/>
    <w:basedOn w:val="1"/>
    <w:next w:val="1"/>
    <w:qFormat/>
    <w:uiPriority w:val="0"/>
    <w:pPr>
      <w:jc w:val="center"/>
      <w:outlineLvl w:val="0"/>
    </w:pPr>
    <w:rPr>
      <w:rFonts w:ascii="Cambria" w:hAnsi="Cambria"/>
      <w:b/>
      <w:bCs/>
      <w:sz w:val="32"/>
      <w:szCs w:val="32"/>
    </w:rPr>
  </w:style>
  <w:style w:type="paragraph" w:styleId="16">
    <w:name w:val="Body Text First Indent 2"/>
    <w:basedOn w:val="7"/>
    <w:qFormat/>
    <w:uiPriority w:val="0"/>
    <w:pPr>
      <w:spacing w:line="240" w:lineRule="auto"/>
      <w:ind w:left="420" w:leftChars="200" w:firstLine="42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FollowedHyperlink"/>
    <w:basedOn w:val="19"/>
    <w:qFormat/>
    <w:uiPriority w:val="0"/>
    <w:rPr>
      <w:color w:val="800080"/>
      <w:u w:val="none"/>
    </w:rPr>
  </w:style>
  <w:style w:type="character" w:styleId="22">
    <w:name w:val="Hyperlink"/>
    <w:basedOn w:val="19"/>
    <w:qFormat/>
    <w:uiPriority w:val="0"/>
    <w:rPr>
      <w:color w:val="0000FF"/>
      <w:u w:val="none"/>
    </w:rPr>
  </w:style>
  <w:style w:type="paragraph" w:customStyle="1" w:styleId="2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列出段落1"/>
    <w:basedOn w:val="1"/>
    <w:qFormat/>
    <w:uiPriority w:val="34"/>
    <w:pPr>
      <w:ind w:firstLine="420" w:firstLineChars="200"/>
    </w:pPr>
    <w:rPr>
      <w:szCs w:val="22"/>
    </w:rPr>
  </w:style>
  <w:style w:type="paragraph" w:customStyle="1" w:styleId="25">
    <w:name w:val="样式 样式 左侧:  2 字符 + 左侧:  0.85 厘米 首行缩进:  2 字符1"/>
    <w:basedOn w:val="1"/>
    <w:qFormat/>
    <w:uiPriority w:val="0"/>
    <w:pPr>
      <w:ind w:left="482" w:firstLine="200" w:firstLineChars="200"/>
    </w:pPr>
    <w:rPr>
      <w:rFonts w:cs="宋体"/>
    </w:rPr>
  </w:style>
  <w:style w:type="paragraph" w:customStyle="1" w:styleId="26">
    <w:name w:val="列出段落111"/>
    <w:basedOn w:val="1"/>
    <w:qFormat/>
    <w:uiPriority w:val="0"/>
    <w:pPr>
      <w:ind w:firstLine="420" w:firstLineChars="200"/>
    </w:pPr>
    <w:rPr>
      <w:rFonts w:ascii="Times New Roman" w:hAnsi="Times New Roman"/>
    </w:rPr>
  </w:style>
  <w:style w:type="paragraph" w:customStyle="1" w:styleId="27">
    <w:name w:val="列表段落1"/>
    <w:basedOn w:val="1"/>
    <w:qFormat/>
    <w:uiPriority w:val="34"/>
    <w:pPr>
      <w:ind w:firstLine="420" w:firstLineChars="200"/>
    </w:pPr>
    <w:rPr>
      <w:szCs w:val="22"/>
    </w:rPr>
  </w:style>
  <w:style w:type="paragraph" w:customStyle="1" w:styleId="28">
    <w:name w:val="普通 (Web)"/>
    <w:basedOn w:val="1"/>
    <w:qFormat/>
    <w:uiPriority w:val="0"/>
    <w:pPr>
      <w:widowControl/>
      <w:spacing w:beforeAutospacing="1" w:afterAutospacing="1"/>
      <w:jc w:val="left"/>
    </w:pPr>
    <w:rPr>
      <w:rFonts w:ascii="宋体" w:hAnsi="宋体"/>
      <w:kern w:val="0"/>
      <w:sz w:val="24"/>
    </w:rPr>
  </w:style>
  <w:style w:type="paragraph" w:customStyle="1" w:styleId="29">
    <w:name w:val="样式9 Char"/>
    <w:basedOn w:val="1"/>
    <w:qFormat/>
    <w:uiPriority w:val="0"/>
    <w:pPr>
      <w:widowControl/>
      <w:spacing w:line="440" w:lineRule="exact"/>
      <w:ind w:firstLine="200" w:firstLineChars="200"/>
      <w:jc w:val="left"/>
    </w:pPr>
    <w:rPr>
      <w:spacing w:val="6"/>
      <w:kern w:val="0"/>
      <w:sz w:val="24"/>
    </w:rPr>
  </w:style>
  <w:style w:type="paragraph" w:customStyle="1" w:styleId="30">
    <w:name w:val="Table Paragraph"/>
    <w:basedOn w:val="1"/>
    <w:qFormat/>
    <w:uiPriority w:val="1"/>
    <w:rPr>
      <w:rFonts w:ascii="宋体" w:hAnsi="宋体" w:cs="宋体"/>
    </w:rPr>
  </w:style>
  <w:style w:type="paragraph" w:customStyle="1" w:styleId="31">
    <w:name w:val="列出段落11"/>
    <w:basedOn w:val="1"/>
    <w:qFormat/>
    <w:uiPriority w:val="0"/>
  </w:style>
  <w:style w:type="character" w:customStyle="1" w:styleId="32">
    <w:name w:val="日期 Char"/>
    <w:basedOn w:val="19"/>
    <w:link w:val="9"/>
    <w:qFormat/>
    <w:uiPriority w:val="0"/>
    <w:rPr>
      <w:kern w:val="2"/>
      <w:sz w:val="21"/>
    </w:rPr>
  </w:style>
  <w:style w:type="character" w:customStyle="1" w:styleId="33">
    <w:name w:val="纯文本 Char"/>
    <w:basedOn w:val="19"/>
    <w:link w:val="8"/>
    <w:qFormat/>
    <w:uiPriority w:val="0"/>
    <w:rPr>
      <w:rFonts w:ascii="宋体" w:hAnsi="Courier New"/>
      <w:kern w:val="2"/>
      <w:sz w:val="21"/>
    </w:rPr>
  </w:style>
  <w:style w:type="paragraph" w:customStyle="1" w:styleId="34">
    <w:name w:val="样式 首行缩进:  2 字符"/>
    <w:basedOn w:val="1"/>
    <w:qFormat/>
    <w:uiPriority w:val="0"/>
    <w:pPr>
      <w:spacing w:line="360" w:lineRule="auto"/>
      <w:ind w:firstLine="480" w:firstLineChars="200"/>
      <w:jc w:val="left"/>
    </w:pPr>
    <w:rPr>
      <w:rFonts w:ascii="宋体" w:hAnsi="宋体" w:cs="宋体"/>
      <w:color w:val="000000"/>
      <w:kern w:val="0"/>
      <w:sz w:val="24"/>
      <w:szCs w:val="24"/>
      <w:lang w:eastAsia="en-US"/>
    </w:rPr>
  </w:style>
  <w:style w:type="paragraph" w:styleId="35">
    <w:name w:val="List Paragraph"/>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76EA3-6D13-4AC6-982B-10B5F1BF80BF}">
  <ds:schemaRefs/>
</ds:datastoreItem>
</file>

<file path=docProps/app.xml><?xml version="1.0" encoding="utf-8"?>
<Properties xmlns="http://schemas.openxmlformats.org/officeDocument/2006/extended-properties" xmlns:vt="http://schemas.openxmlformats.org/officeDocument/2006/docPropsVTypes">
  <Template>Normal</Template>
  <Pages>55</Pages>
  <Words>4758</Words>
  <Characters>27126</Characters>
  <Lines>226</Lines>
  <Paragraphs>63</Paragraphs>
  <TotalTime>3</TotalTime>
  <ScaleCrop>false</ScaleCrop>
  <LinksUpToDate>false</LinksUpToDate>
  <CharactersWithSpaces>31821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2021-01-18T02:22:00Z</cp:lastPrinted>
  <dcterms:modified xsi:type="dcterms:W3CDTF">2021-10-12T04:46:07Z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76796F6EC12B492F8A2A9B5225ED32D6</vt:lpwstr>
  </property>
</Properties>
</file>